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32E" w:rsidRPr="00AF432E" w:rsidRDefault="005351B8" w:rsidP="00AF432E">
      <w:pPr>
        <w:spacing w:after="0" w:line="240" w:lineRule="auto"/>
        <w:rPr>
          <w:rFonts w:cs="Calibri"/>
          <w:color w:val="C00000"/>
          <w:sz w:val="24"/>
          <w:szCs w:val="24"/>
          <w:lang w:eastAsia="el-GR"/>
        </w:rPr>
      </w:pPr>
      <w:bookmarkStart w:id="0" w:name="_GoBack"/>
      <w:bookmarkEnd w:id="0"/>
      <w:r>
        <w:rPr>
          <w:rFonts w:cs="Calibri"/>
          <w:color w:val="C00000"/>
          <w:sz w:val="24"/>
          <w:szCs w:val="24"/>
          <w:lang w:eastAsia="el-GR"/>
        </w:rPr>
        <w:t>Case Report</w:t>
      </w:r>
    </w:p>
    <w:p w:rsidR="00AF432E" w:rsidRPr="00AF432E" w:rsidRDefault="00AF432E" w:rsidP="00AF432E">
      <w:pPr>
        <w:spacing w:after="0" w:line="240" w:lineRule="auto"/>
        <w:rPr>
          <w:rFonts w:cs="Calibri"/>
          <w:b/>
          <w:sz w:val="12"/>
          <w:szCs w:val="12"/>
          <w:lang w:eastAsia="el-GR"/>
        </w:rPr>
      </w:pPr>
    </w:p>
    <w:p w:rsidR="00A104BD" w:rsidRPr="00AF432E" w:rsidRDefault="005351B8" w:rsidP="00AF432E">
      <w:pPr>
        <w:spacing w:after="0" w:line="240" w:lineRule="auto"/>
        <w:rPr>
          <w:rFonts w:cs="Calibri"/>
          <w:b/>
          <w:sz w:val="24"/>
          <w:szCs w:val="24"/>
          <w:lang w:eastAsia="el-GR"/>
        </w:rPr>
      </w:pPr>
      <w:r w:rsidRPr="005351B8">
        <w:rPr>
          <w:rFonts w:cs="Calibri"/>
          <w:b/>
          <w:sz w:val="24"/>
          <w:szCs w:val="24"/>
          <w:lang w:eastAsia="el-GR"/>
        </w:rPr>
        <w:t>Avulsion tibial tubercle fracture, resulting from a low energy trauma</w:t>
      </w:r>
    </w:p>
    <w:p w:rsidR="00AF432E" w:rsidRPr="00AF432E" w:rsidRDefault="00AF432E" w:rsidP="00AF432E">
      <w:pPr>
        <w:spacing w:after="0" w:line="240" w:lineRule="auto"/>
        <w:rPr>
          <w:rFonts w:cs="Calibri"/>
          <w:b/>
          <w:sz w:val="8"/>
          <w:szCs w:val="8"/>
          <w:lang w:eastAsia="el-GR"/>
        </w:rPr>
      </w:pPr>
    </w:p>
    <w:p w:rsidR="00AE0464" w:rsidRPr="00AF432E" w:rsidRDefault="005351B8" w:rsidP="00AF432E">
      <w:pPr>
        <w:spacing w:after="0" w:line="240" w:lineRule="auto"/>
        <w:rPr>
          <w:rFonts w:cs="Calibri"/>
          <w:sz w:val="8"/>
          <w:szCs w:val="8"/>
          <w:lang w:eastAsia="el-GR"/>
        </w:rPr>
      </w:pPr>
      <w:r w:rsidRPr="005351B8">
        <w:rPr>
          <w:rFonts w:cs="Calibri"/>
          <w:b/>
          <w:sz w:val="20"/>
          <w:szCs w:val="20"/>
          <w:lang w:eastAsia="el-GR"/>
        </w:rPr>
        <w:t>Malkidou Nymfodora</w:t>
      </w:r>
      <w:r w:rsidRPr="005351B8">
        <w:rPr>
          <w:rFonts w:cs="Calibri"/>
          <w:b/>
          <w:sz w:val="20"/>
          <w:szCs w:val="20"/>
          <w:vertAlign w:val="superscript"/>
          <w:lang w:eastAsia="el-GR"/>
        </w:rPr>
        <w:t>1</w:t>
      </w:r>
      <w:r>
        <w:rPr>
          <w:rFonts w:cs="Calibri"/>
          <w:b/>
          <w:sz w:val="20"/>
          <w:szCs w:val="20"/>
          <w:lang w:eastAsia="el-GR"/>
        </w:rPr>
        <w:t>, Galanis Vasilios</w:t>
      </w:r>
      <w:r w:rsidRPr="005351B8">
        <w:rPr>
          <w:rFonts w:cs="Calibri"/>
          <w:b/>
          <w:sz w:val="20"/>
          <w:szCs w:val="20"/>
          <w:vertAlign w:val="superscript"/>
          <w:lang w:eastAsia="el-GR"/>
        </w:rPr>
        <w:t>2</w:t>
      </w:r>
      <w:r w:rsidRPr="005351B8">
        <w:rPr>
          <w:rFonts w:cs="Calibri"/>
          <w:b/>
          <w:sz w:val="20"/>
          <w:szCs w:val="20"/>
          <w:lang w:eastAsia="el-GR"/>
        </w:rPr>
        <w:t>, Fiska Aliki</w:t>
      </w:r>
      <w:r w:rsidRPr="005351B8">
        <w:rPr>
          <w:rFonts w:cs="Calibri"/>
          <w:b/>
          <w:sz w:val="20"/>
          <w:szCs w:val="20"/>
          <w:vertAlign w:val="superscript"/>
          <w:lang w:eastAsia="el-GR"/>
        </w:rPr>
        <w:t>1</w:t>
      </w:r>
    </w:p>
    <w:p w:rsidR="00AE0464" w:rsidRPr="00AF432E" w:rsidRDefault="00AE0464" w:rsidP="00AF432E">
      <w:pPr>
        <w:spacing w:after="0" w:line="240" w:lineRule="auto"/>
        <w:rPr>
          <w:rFonts w:cs="Calibri"/>
          <w:i/>
          <w:sz w:val="20"/>
          <w:szCs w:val="20"/>
          <w:lang w:eastAsia="el-GR"/>
        </w:rPr>
      </w:pPr>
      <w:r w:rsidRPr="00AF432E">
        <w:rPr>
          <w:rFonts w:cs="Calibri"/>
          <w:i/>
          <w:sz w:val="20"/>
          <w:szCs w:val="20"/>
          <w:vertAlign w:val="superscript"/>
          <w:lang w:eastAsia="el-GR"/>
        </w:rPr>
        <w:t>1</w:t>
      </w:r>
      <w:r w:rsidRPr="00AF432E">
        <w:rPr>
          <w:rFonts w:cs="Calibri"/>
          <w:i/>
          <w:sz w:val="20"/>
          <w:szCs w:val="20"/>
          <w:lang w:eastAsia="el-GR"/>
        </w:rPr>
        <w:t xml:space="preserve"> </w:t>
      </w:r>
      <w:r w:rsidR="005351B8" w:rsidRPr="005351B8">
        <w:rPr>
          <w:rFonts w:cs="Calibri"/>
          <w:i/>
          <w:sz w:val="20"/>
          <w:szCs w:val="20"/>
          <w:lang w:eastAsia="el-GR"/>
        </w:rPr>
        <w:t>Laboratory of Anatomy, Medical School, Democritus University of Thrace, Greece</w:t>
      </w:r>
    </w:p>
    <w:p w:rsidR="00AE0464" w:rsidRPr="00AF432E" w:rsidRDefault="00AE0464" w:rsidP="00AF432E">
      <w:pPr>
        <w:spacing w:after="0" w:line="240" w:lineRule="auto"/>
        <w:rPr>
          <w:rFonts w:cs="Calibri"/>
          <w:sz w:val="20"/>
          <w:szCs w:val="20"/>
          <w:lang w:eastAsia="el-GR"/>
        </w:rPr>
      </w:pPr>
      <w:r w:rsidRPr="00AF432E">
        <w:rPr>
          <w:rFonts w:cs="Calibri"/>
          <w:i/>
          <w:sz w:val="20"/>
          <w:szCs w:val="20"/>
          <w:vertAlign w:val="superscript"/>
          <w:lang w:eastAsia="el-GR"/>
        </w:rPr>
        <w:t>2</w:t>
      </w:r>
      <w:r w:rsidRPr="00AF432E">
        <w:rPr>
          <w:rFonts w:cs="Calibri"/>
          <w:i/>
          <w:sz w:val="20"/>
          <w:szCs w:val="20"/>
          <w:lang w:eastAsia="el-GR"/>
        </w:rPr>
        <w:t xml:space="preserve"> </w:t>
      </w:r>
      <w:r w:rsidR="005351B8" w:rsidRPr="005351B8">
        <w:rPr>
          <w:rFonts w:cs="Calibri"/>
          <w:i/>
          <w:sz w:val="20"/>
          <w:szCs w:val="20"/>
          <w:lang w:eastAsia="el-GR"/>
        </w:rPr>
        <w:t>Orthopaedic Clinic, Didymoteichon Hospital, Greece</w:t>
      </w:r>
    </w:p>
    <w:p w:rsidR="00AE0464" w:rsidRDefault="00AE0464" w:rsidP="00AF432E">
      <w:pPr>
        <w:spacing w:after="0" w:line="240" w:lineRule="auto"/>
        <w:jc w:val="both"/>
        <w:rPr>
          <w:rFonts w:cs="Calibri"/>
          <w:b/>
          <w:sz w:val="20"/>
          <w:szCs w:val="20"/>
          <w:lang w:eastAsia="el-GR"/>
        </w:rPr>
      </w:pPr>
    </w:p>
    <w:p w:rsidR="00CB2D12" w:rsidRPr="00AF432E" w:rsidRDefault="00CB2D12" w:rsidP="00AF432E">
      <w:pPr>
        <w:spacing w:after="0" w:line="240" w:lineRule="auto"/>
        <w:jc w:val="both"/>
        <w:rPr>
          <w:rFonts w:cs="Calibri"/>
          <w:b/>
          <w:sz w:val="20"/>
          <w:szCs w:val="20"/>
          <w:lang w:eastAsia="el-GR"/>
        </w:rPr>
      </w:pPr>
    </w:p>
    <w:p w:rsidR="00AF432E" w:rsidRPr="00CB2D12" w:rsidRDefault="00AF432E" w:rsidP="00AF432E">
      <w:pPr>
        <w:spacing w:after="0" w:line="240" w:lineRule="auto"/>
        <w:rPr>
          <w:rFonts w:cs="Calibri"/>
          <w:b/>
          <w:sz w:val="20"/>
          <w:szCs w:val="20"/>
          <w:lang w:eastAsia="el-GR"/>
        </w:rPr>
      </w:pPr>
      <w:r w:rsidRPr="00CB2D12">
        <w:rPr>
          <w:rFonts w:cs="Calibri"/>
          <w:b/>
          <w:sz w:val="20"/>
          <w:szCs w:val="20"/>
          <w:lang w:eastAsia="el-GR"/>
        </w:rPr>
        <w:t xml:space="preserve">Abstract </w:t>
      </w:r>
    </w:p>
    <w:p w:rsidR="00CB2D12" w:rsidRDefault="005351B8" w:rsidP="005351B8">
      <w:pPr>
        <w:spacing w:after="0" w:line="240" w:lineRule="auto"/>
        <w:jc w:val="both"/>
        <w:rPr>
          <w:rFonts w:cs="Calibri"/>
          <w:sz w:val="16"/>
          <w:szCs w:val="16"/>
          <w:lang w:eastAsia="el-GR"/>
        </w:rPr>
      </w:pPr>
      <w:r w:rsidRPr="005351B8">
        <w:rPr>
          <w:rFonts w:cs="Calibri"/>
          <w:sz w:val="16"/>
          <w:szCs w:val="16"/>
          <w:lang w:eastAsia="el-GR"/>
        </w:rPr>
        <w:t>This study aims to describe a rare tibial tubercle fracture (TTF) in an adolescent boy, associated with complete patellar ligament avulsion, resulting from low energy trauma. A 13-year-old boy, while walking home from school, experienced an abrupt twisting calf movement that injured his knee causing him to fell to the ground. Radiological examination revealed a TTF combined with high-riding patella. The fracture was promptly fixed with cannulated screws and transosseous sutures. A combined TTF and patellar ligament avulsion during mild activity in a healthy young individual is considered a rare phenomenon, and requires the same specialized surgical intervention as high-energy fractures, to avoid serious motion impairment.</w:t>
      </w:r>
    </w:p>
    <w:p w:rsidR="005351B8" w:rsidRPr="00BD636A" w:rsidRDefault="005351B8" w:rsidP="005351B8">
      <w:pPr>
        <w:spacing w:after="0" w:line="240" w:lineRule="auto"/>
        <w:jc w:val="both"/>
        <w:rPr>
          <w:rFonts w:cs="Calibri"/>
          <w:sz w:val="18"/>
          <w:szCs w:val="18"/>
          <w:lang w:eastAsia="el-GR"/>
        </w:rPr>
      </w:pPr>
      <w:r w:rsidRPr="00BD636A">
        <w:rPr>
          <w:rFonts w:cs="Calibri"/>
          <w:sz w:val="18"/>
          <w:szCs w:val="18"/>
          <w:lang w:eastAsia="el-GR"/>
        </w:rPr>
        <w:t>Keywords: Adolescent knee trauma, high riding patella, patellar ligament avulsion, tibial tuberosity fracture</w:t>
      </w:r>
    </w:p>
    <w:p w:rsidR="005351B8" w:rsidRDefault="005351B8" w:rsidP="005351B8">
      <w:pPr>
        <w:spacing w:after="0" w:line="240" w:lineRule="auto"/>
        <w:jc w:val="both"/>
        <w:rPr>
          <w:rFonts w:cs="Calibri"/>
          <w:sz w:val="16"/>
          <w:szCs w:val="16"/>
          <w:lang w:eastAsia="el-GR"/>
        </w:rPr>
      </w:pPr>
    </w:p>
    <w:p w:rsidR="005351B8" w:rsidRPr="00BD636A" w:rsidRDefault="005351B8" w:rsidP="005351B8">
      <w:pPr>
        <w:spacing w:after="0" w:line="240" w:lineRule="auto"/>
        <w:jc w:val="both"/>
        <w:rPr>
          <w:rFonts w:cs="Calibri"/>
          <w:i/>
          <w:sz w:val="16"/>
          <w:szCs w:val="16"/>
          <w:lang w:eastAsia="el-GR"/>
        </w:rPr>
      </w:pPr>
      <w:r w:rsidRPr="00BD636A">
        <w:rPr>
          <w:rFonts w:cs="Calibri"/>
          <w:i/>
          <w:sz w:val="16"/>
          <w:szCs w:val="16"/>
          <w:lang w:eastAsia="el-GR"/>
        </w:rPr>
        <w:t>Corresponding Author: Malkidou Nymfodora, Anatomy Laboratory, Medical School, Democritus University of Thrace, Greece, mob:+306957606036, nmalkidou@gmail.com</w:t>
      </w:r>
    </w:p>
    <w:p w:rsidR="00CB2D12" w:rsidRDefault="00CB2D12" w:rsidP="00AF432E">
      <w:pPr>
        <w:spacing w:after="0" w:line="240" w:lineRule="auto"/>
        <w:rPr>
          <w:rFonts w:cs="Calibri"/>
          <w:b/>
          <w:sz w:val="20"/>
          <w:szCs w:val="20"/>
          <w:lang w:eastAsia="el-GR"/>
        </w:rPr>
      </w:pPr>
    </w:p>
    <w:p w:rsidR="00CB2D12" w:rsidRDefault="00CB2D12" w:rsidP="00AF432E">
      <w:pPr>
        <w:spacing w:after="0" w:line="240" w:lineRule="auto"/>
        <w:rPr>
          <w:rFonts w:cs="Calibri"/>
          <w:b/>
          <w:sz w:val="20"/>
          <w:szCs w:val="20"/>
          <w:lang w:eastAsia="el-GR"/>
        </w:rPr>
        <w:sectPr w:rsidR="00CB2D12" w:rsidSect="00A6622B">
          <w:headerReference w:type="default" r:id="rId8"/>
          <w:footerReference w:type="default" r:id="rId9"/>
          <w:pgSz w:w="12240" w:h="15840"/>
          <w:pgMar w:top="1440" w:right="1440" w:bottom="1440" w:left="1440" w:header="720" w:footer="720" w:gutter="0"/>
          <w:cols w:space="720"/>
          <w:docGrid w:linePitch="360"/>
        </w:sectPr>
      </w:pPr>
    </w:p>
    <w:p w:rsidR="00A104BD" w:rsidRPr="00CB2D12" w:rsidRDefault="00A104BD" w:rsidP="00CB2D12">
      <w:pPr>
        <w:spacing w:after="0" w:line="240" w:lineRule="auto"/>
        <w:ind w:left="-144" w:right="-144"/>
        <w:rPr>
          <w:rFonts w:cs="Calibri"/>
          <w:b/>
          <w:lang w:eastAsia="el-GR"/>
        </w:rPr>
      </w:pPr>
      <w:r w:rsidRPr="00CB2D12">
        <w:rPr>
          <w:rFonts w:cs="Calibri"/>
          <w:b/>
          <w:lang w:eastAsia="el-GR"/>
        </w:rPr>
        <w:lastRenderedPageBreak/>
        <w:t xml:space="preserve">Introduction </w:t>
      </w:r>
    </w:p>
    <w:p w:rsidR="005351B8" w:rsidRPr="005351B8" w:rsidRDefault="005351B8" w:rsidP="005351B8">
      <w:pPr>
        <w:spacing w:after="0" w:line="240" w:lineRule="auto"/>
        <w:ind w:left="-144" w:right="-144"/>
        <w:jc w:val="both"/>
        <w:rPr>
          <w:rFonts w:cs="Calibri"/>
          <w:sz w:val="20"/>
          <w:szCs w:val="20"/>
          <w:lang w:eastAsia="el-GR"/>
        </w:rPr>
      </w:pPr>
      <w:r w:rsidRPr="005351B8">
        <w:rPr>
          <w:rFonts w:cs="Calibri"/>
          <w:sz w:val="20"/>
          <w:szCs w:val="20"/>
          <w:lang w:eastAsia="el-GR"/>
        </w:rPr>
        <w:t>Avulsion fractures of the tibial tubercle (TTF) are rare and constitute less than 1% of all physeal injuries</w:t>
      </w:r>
      <w:r>
        <w:rPr>
          <w:rFonts w:cs="Calibri"/>
          <w:sz w:val="20"/>
          <w:szCs w:val="20"/>
          <w:lang w:eastAsia="el-GR"/>
        </w:rPr>
        <w:t>.</w:t>
      </w:r>
      <w:r w:rsidRPr="005351B8">
        <w:rPr>
          <w:rFonts w:cs="Calibri"/>
          <w:sz w:val="20"/>
          <w:szCs w:val="20"/>
          <w:vertAlign w:val="superscript"/>
          <w:lang w:eastAsia="el-GR"/>
        </w:rPr>
        <w:t>1</w:t>
      </w:r>
      <w:r w:rsidRPr="005351B8">
        <w:rPr>
          <w:rFonts w:cs="Calibri"/>
          <w:sz w:val="20"/>
          <w:szCs w:val="20"/>
          <w:lang w:eastAsia="el-GR"/>
        </w:rPr>
        <w:t xml:space="preserve"> They mostly affect teenage boys, who are usually more energetic and competitive than girls and whose skeletons have not yet completed their growth at that young age. Typically, they occur during athletic activities, since physis undergoing developmental changes is more vulnerable to excessive loads exerted on it during sports</w:t>
      </w:r>
      <w:r>
        <w:rPr>
          <w:rFonts w:cs="Calibri"/>
          <w:sz w:val="20"/>
          <w:szCs w:val="20"/>
          <w:lang w:eastAsia="el-GR"/>
        </w:rPr>
        <w:t>.</w:t>
      </w:r>
      <w:r w:rsidRPr="005351B8">
        <w:rPr>
          <w:rFonts w:cs="Calibri"/>
          <w:sz w:val="20"/>
          <w:szCs w:val="20"/>
          <w:vertAlign w:val="superscript"/>
          <w:lang w:eastAsia="el-GR"/>
        </w:rPr>
        <w:t>2-6</w:t>
      </w:r>
      <w:r w:rsidRPr="005351B8">
        <w:rPr>
          <w:rFonts w:cs="Calibri"/>
          <w:sz w:val="20"/>
          <w:szCs w:val="20"/>
          <w:lang w:eastAsia="el-GR"/>
        </w:rPr>
        <w:t xml:space="preserve"> </w:t>
      </w:r>
    </w:p>
    <w:p w:rsidR="005351B8" w:rsidRPr="005351B8" w:rsidRDefault="005351B8" w:rsidP="005351B8">
      <w:pPr>
        <w:spacing w:after="0" w:line="240" w:lineRule="auto"/>
        <w:ind w:left="-144" w:right="-144"/>
        <w:jc w:val="both"/>
        <w:rPr>
          <w:rFonts w:cs="Calibri"/>
          <w:sz w:val="20"/>
          <w:szCs w:val="20"/>
          <w:lang w:eastAsia="el-GR"/>
        </w:rPr>
      </w:pPr>
      <w:r w:rsidRPr="005351B8">
        <w:rPr>
          <w:rFonts w:cs="Calibri"/>
          <w:sz w:val="20"/>
          <w:szCs w:val="20"/>
          <w:lang w:eastAsia="el-GR"/>
        </w:rPr>
        <w:t>Reports on tibial tubercle fractures associate them with different levels of patellar ligament avulsion, that can be partial or complete. All cases presenting TTFs with simultaneous patellar ligament avulsion are attributed to high energy activity.</w:t>
      </w:r>
      <w:r w:rsidRPr="005351B8">
        <w:rPr>
          <w:rFonts w:cs="Calibri"/>
          <w:sz w:val="20"/>
          <w:szCs w:val="20"/>
          <w:vertAlign w:val="superscript"/>
          <w:lang w:eastAsia="el-GR"/>
        </w:rPr>
        <w:t>3-4</w:t>
      </w:r>
      <w:r w:rsidRPr="005351B8">
        <w:rPr>
          <w:rFonts w:cs="Calibri"/>
          <w:sz w:val="20"/>
          <w:szCs w:val="20"/>
          <w:lang w:eastAsia="el-GR"/>
        </w:rPr>
        <w:t xml:space="preserve"> </w:t>
      </w:r>
    </w:p>
    <w:p w:rsidR="007E221D" w:rsidRPr="00AF432E" w:rsidRDefault="005351B8" w:rsidP="005351B8">
      <w:pPr>
        <w:spacing w:after="0" w:line="240" w:lineRule="auto"/>
        <w:ind w:left="-144" w:right="-144"/>
        <w:jc w:val="both"/>
        <w:rPr>
          <w:rFonts w:cs="Calibri"/>
          <w:sz w:val="20"/>
          <w:szCs w:val="20"/>
          <w:lang w:eastAsia="el-GR"/>
        </w:rPr>
      </w:pPr>
      <w:r w:rsidRPr="005351B8">
        <w:rPr>
          <w:rFonts w:cs="Calibri"/>
          <w:sz w:val="20"/>
          <w:szCs w:val="20"/>
          <w:lang w:eastAsia="el-GR"/>
        </w:rPr>
        <w:t>To our knowledge, TTF cases with complete patellar ligament avulsion resulting from low-energy trauma are absent from the medical literature. How can mild physical activity of a young healthy male result in such a severe lesion?</w:t>
      </w:r>
    </w:p>
    <w:p w:rsidR="00283A86" w:rsidRPr="00AF432E" w:rsidRDefault="00283A86" w:rsidP="00CB2D12">
      <w:pPr>
        <w:spacing w:after="0" w:line="240" w:lineRule="auto"/>
        <w:ind w:left="-144" w:right="-144"/>
        <w:rPr>
          <w:rFonts w:cs="Calibri"/>
          <w:b/>
          <w:sz w:val="20"/>
          <w:szCs w:val="20"/>
          <w:lang w:eastAsia="el-GR"/>
        </w:rPr>
      </w:pPr>
    </w:p>
    <w:p w:rsidR="00C60D70" w:rsidRPr="00CB2D12" w:rsidRDefault="00C60D70" w:rsidP="00CB2D12">
      <w:pPr>
        <w:spacing w:after="0" w:line="240" w:lineRule="auto"/>
        <w:ind w:left="-144" w:right="-144"/>
        <w:rPr>
          <w:rFonts w:cs="Calibri"/>
          <w:b/>
          <w:lang w:eastAsia="el-GR"/>
        </w:rPr>
      </w:pPr>
      <w:r w:rsidRPr="00CB2D12">
        <w:rPr>
          <w:rFonts w:cs="Calibri"/>
          <w:b/>
          <w:lang w:eastAsia="el-GR"/>
        </w:rPr>
        <w:t xml:space="preserve">Methods and Materials </w:t>
      </w:r>
    </w:p>
    <w:p w:rsidR="005351B8" w:rsidRPr="005351B8" w:rsidRDefault="00AE0464" w:rsidP="005351B8">
      <w:pPr>
        <w:spacing w:after="0" w:line="240" w:lineRule="auto"/>
        <w:ind w:left="-144" w:right="-144"/>
        <w:jc w:val="both"/>
        <w:rPr>
          <w:rFonts w:cs="Calibri"/>
          <w:sz w:val="20"/>
          <w:szCs w:val="20"/>
        </w:rPr>
      </w:pPr>
      <w:r w:rsidRPr="00AF432E">
        <w:rPr>
          <w:rFonts w:cs="Calibri"/>
          <w:sz w:val="20"/>
          <w:szCs w:val="20"/>
        </w:rPr>
        <w:tab/>
      </w:r>
      <w:r w:rsidR="005351B8" w:rsidRPr="005351B8">
        <w:rPr>
          <w:rFonts w:cs="Calibri"/>
          <w:sz w:val="20"/>
          <w:szCs w:val="20"/>
        </w:rPr>
        <w:t xml:space="preserve">A 13-year-old male with no medical history sustained an injury to his left knee, during his walk home from school after a sudden twist of his knee joint. He fell onto the ground and felt acute pain in his sprained knee. When trying to get up, he realized he could not use his injured leg or put any weight on it at all. </w:t>
      </w:r>
    </w:p>
    <w:p w:rsidR="005351B8" w:rsidRPr="005351B8" w:rsidRDefault="005351B8" w:rsidP="005351B8">
      <w:pPr>
        <w:spacing w:after="0" w:line="240" w:lineRule="auto"/>
        <w:ind w:left="-144" w:right="-144"/>
        <w:jc w:val="both"/>
        <w:rPr>
          <w:rFonts w:cs="Calibri"/>
          <w:sz w:val="20"/>
          <w:szCs w:val="20"/>
        </w:rPr>
      </w:pPr>
      <w:r>
        <w:rPr>
          <w:rFonts w:cs="Calibri"/>
          <w:sz w:val="20"/>
          <w:szCs w:val="20"/>
        </w:rPr>
        <w:tab/>
      </w:r>
      <w:r w:rsidRPr="005351B8">
        <w:rPr>
          <w:rFonts w:cs="Calibri"/>
          <w:sz w:val="20"/>
          <w:szCs w:val="20"/>
        </w:rPr>
        <w:t xml:space="preserve">Physical examination revealed a sprained left radiocarpal joint and a large soft tissue swelling on the lower thigh, over the left knee. Palpation caused extreme tenderness, while the knee’s range of motion was strongly reduced. Radiology demonstrated the TTF. </w:t>
      </w:r>
      <w:r>
        <w:rPr>
          <w:rFonts w:cs="Calibri"/>
          <w:sz w:val="20"/>
          <w:szCs w:val="20"/>
        </w:rPr>
        <w:tab/>
      </w:r>
      <w:r w:rsidRPr="005351B8">
        <w:rPr>
          <w:rFonts w:cs="Calibri"/>
          <w:sz w:val="20"/>
          <w:szCs w:val="20"/>
        </w:rPr>
        <w:t xml:space="preserve">The detachment of the patellar ligament from its </w:t>
      </w:r>
      <w:r w:rsidRPr="005351B8">
        <w:rPr>
          <w:rFonts w:cs="Calibri"/>
          <w:sz w:val="20"/>
          <w:szCs w:val="20"/>
        </w:rPr>
        <w:lastRenderedPageBreak/>
        <w:t>insertion site caused the proximal displacement of the quadriceps muscle and the uplifting of the patella towards the hip: a typical demonstration of high-riding patella</w:t>
      </w:r>
      <w:r>
        <w:rPr>
          <w:rFonts w:cs="Calibri"/>
          <w:sz w:val="20"/>
          <w:szCs w:val="20"/>
        </w:rPr>
        <w:t>.</w:t>
      </w:r>
      <w:r>
        <w:rPr>
          <w:rFonts w:cs="Calibri"/>
          <w:i/>
          <w:sz w:val="20"/>
          <w:szCs w:val="20"/>
        </w:rPr>
        <w:t xml:space="preserve">(Figure 1) </w:t>
      </w:r>
      <w:r w:rsidRPr="005351B8">
        <w:rPr>
          <w:rFonts w:cs="Calibri"/>
          <w:sz w:val="20"/>
          <w:szCs w:val="20"/>
        </w:rPr>
        <w:t>Fragments of the fractured tibial tubercle were attached to the edge of the patellar ligament.</w:t>
      </w:r>
    </w:p>
    <w:p w:rsidR="005351B8" w:rsidRDefault="005351B8" w:rsidP="005351B8">
      <w:pPr>
        <w:spacing w:after="0" w:line="240" w:lineRule="auto"/>
        <w:ind w:left="-144" w:right="-144"/>
        <w:jc w:val="both"/>
        <w:rPr>
          <w:rFonts w:cs="Calibri"/>
          <w:sz w:val="20"/>
          <w:szCs w:val="20"/>
        </w:rPr>
      </w:pPr>
      <w:r>
        <w:rPr>
          <w:rFonts w:cs="Calibri"/>
          <w:sz w:val="20"/>
          <w:szCs w:val="20"/>
        </w:rPr>
        <w:tab/>
      </w:r>
      <w:r w:rsidRPr="005351B8">
        <w:rPr>
          <w:rFonts w:cs="Calibri"/>
          <w:sz w:val="20"/>
          <w:szCs w:val="20"/>
        </w:rPr>
        <w:t>The fracture was classified as type IIB according to Ogden classification due to the com</w:t>
      </w:r>
      <w:r>
        <w:rPr>
          <w:rFonts w:cs="Calibri"/>
          <w:sz w:val="20"/>
          <w:szCs w:val="20"/>
        </w:rPr>
        <w:t>minution of the tibial tubercle.</w:t>
      </w:r>
      <w:r w:rsidRPr="005351B8">
        <w:rPr>
          <w:rFonts w:cs="Calibri"/>
          <w:sz w:val="20"/>
          <w:szCs w:val="20"/>
          <w:vertAlign w:val="superscript"/>
        </w:rPr>
        <w:t>5</w:t>
      </w:r>
    </w:p>
    <w:p w:rsidR="005351B8" w:rsidRDefault="005351B8" w:rsidP="005351B8">
      <w:pPr>
        <w:spacing w:after="0" w:line="240" w:lineRule="auto"/>
        <w:ind w:left="-144" w:right="-144"/>
        <w:jc w:val="both"/>
        <w:rPr>
          <w:rFonts w:cs="Calibr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2"/>
        <w:gridCol w:w="1644"/>
      </w:tblGrid>
      <w:tr w:rsidR="00E124E8" w:rsidTr="00FE3703">
        <w:trPr>
          <w:jc w:val="center"/>
        </w:trPr>
        <w:tc>
          <w:tcPr>
            <w:tcW w:w="2502" w:type="dxa"/>
          </w:tcPr>
          <w:p w:rsidR="00E124E8" w:rsidRDefault="00E124E8" w:rsidP="00FE3703">
            <w:pPr>
              <w:ind w:right="96"/>
              <w:jc w:val="both"/>
              <w:rPr>
                <w:rFonts w:cs="Calibri"/>
                <w:sz w:val="20"/>
                <w:szCs w:val="20"/>
              </w:rPr>
            </w:pPr>
            <w:r>
              <w:rPr>
                <w:rFonts w:cs="Calibri"/>
                <w:noProof/>
                <w:sz w:val="20"/>
                <w:szCs w:val="20"/>
                <w:lang w:val="el-GR" w:eastAsia="el-GR"/>
              </w:rPr>
              <w:drawing>
                <wp:inline distT="0" distB="0" distL="0" distR="0" wp14:anchorId="0875645B" wp14:editId="1A979A47">
                  <wp:extent cx="1632551" cy="3084844"/>
                  <wp:effectExtent l="0" t="0" r="635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2023 Figure 1.jpg"/>
                          <pic:cNvPicPr/>
                        </pic:nvPicPr>
                        <pic:blipFill>
                          <a:blip r:embed="rId10">
                            <a:extLst>
                              <a:ext uri="{28A0092B-C50C-407E-A947-70E740481C1C}">
                                <a14:useLocalDpi xmlns:a14="http://schemas.microsoft.com/office/drawing/2010/main" val="0"/>
                              </a:ext>
                            </a:extLst>
                          </a:blip>
                          <a:stretch>
                            <a:fillRect/>
                          </a:stretch>
                        </pic:blipFill>
                        <pic:spPr>
                          <a:xfrm>
                            <a:off x="0" y="0"/>
                            <a:ext cx="1633301" cy="3086262"/>
                          </a:xfrm>
                          <a:prstGeom prst="rect">
                            <a:avLst/>
                          </a:prstGeom>
                        </pic:spPr>
                      </pic:pic>
                    </a:graphicData>
                  </a:graphic>
                </wp:inline>
              </w:drawing>
            </w:r>
          </w:p>
        </w:tc>
        <w:tc>
          <w:tcPr>
            <w:tcW w:w="2034" w:type="dxa"/>
          </w:tcPr>
          <w:p w:rsidR="00FE3703" w:rsidRDefault="00FE3703" w:rsidP="005351B8">
            <w:pPr>
              <w:ind w:right="-144"/>
              <w:jc w:val="both"/>
              <w:rPr>
                <w:rFonts w:cs="Calibri"/>
                <w:b/>
                <w:i/>
                <w:sz w:val="16"/>
                <w:szCs w:val="16"/>
              </w:rPr>
            </w:pPr>
          </w:p>
          <w:p w:rsidR="00FE3703" w:rsidRDefault="00FE3703" w:rsidP="005351B8">
            <w:pPr>
              <w:ind w:right="-144"/>
              <w:jc w:val="both"/>
              <w:rPr>
                <w:rFonts w:cs="Calibri"/>
                <w:b/>
                <w:i/>
                <w:sz w:val="16"/>
                <w:szCs w:val="16"/>
              </w:rPr>
            </w:pPr>
          </w:p>
          <w:p w:rsidR="00FE3703" w:rsidRDefault="00FE3703" w:rsidP="005351B8">
            <w:pPr>
              <w:ind w:right="-144"/>
              <w:jc w:val="both"/>
              <w:rPr>
                <w:rFonts w:cs="Calibri"/>
                <w:b/>
                <w:i/>
                <w:sz w:val="16"/>
                <w:szCs w:val="16"/>
              </w:rPr>
            </w:pPr>
          </w:p>
          <w:p w:rsidR="00FE3703" w:rsidRDefault="00FE3703" w:rsidP="005351B8">
            <w:pPr>
              <w:ind w:right="-144"/>
              <w:jc w:val="both"/>
              <w:rPr>
                <w:rFonts w:cs="Calibri"/>
                <w:b/>
                <w:i/>
                <w:sz w:val="16"/>
                <w:szCs w:val="16"/>
              </w:rPr>
            </w:pPr>
          </w:p>
          <w:p w:rsidR="00FE3703" w:rsidRDefault="00FE3703" w:rsidP="005351B8">
            <w:pPr>
              <w:ind w:right="-144"/>
              <w:jc w:val="both"/>
              <w:rPr>
                <w:rFonts w:cs="Calibri"/>
                <w:b/>
                <w:i/>
                <w:sz w:val="16"/>
                <w:szCs w:val="16"/>
              </w:rPr>
            </w:pPr>
          </w:p>
          <w:p w:rsidR="00FE3703" w:rsidRDefault="00FE3703" w:rsidP="005351B8">
            <w:pPr>
              <w:ind w:right="-144"/>
              <w:jc w:val="both"/>
              <w:rPr>
                <w:rFonts w:cs="Calibri"/>
                <w:b/>
                <w:i/>
                <w:sz w:val="16"/>
                <w:szCs w:val="16"/>
              </w:rPr>
            </w:pPr>
          </w:p>
          <w:p w:rsidR="00FE3703" w:rsidRDefault="00FE3703" w:rsidP="005351B8">
            <w:pPr>
              <w:ind w:right="-144"/>
              <w:jc w:val="both"/>
              <w:rPr>
                <w:rFonts w:cs="Calibri"/>
                <w:b/>
                <w:i/>
                <w:sz w:val="16"/>
                <w:szCs w:val="16"/>
              </w:rPr>
            </w:pPr>
          </w:p>
          <w:p w:rsidR="00FE3703" w:rsidRDefault="00FE3703" w:rsidP="005351B8">
            <w:pPr>
              <w:ind w:right="-144"/>
              <w:jc w:val="both"/>
              <w:rPr>
                <w:rFonts w:cs="Calibri"/>
                <w:b/>
                <w:i/>
                <w:sz w:val="16"/>
                <w:szCs w:val="16"/>
              </w:rPr>
            </w:pPr>
          </w:p>
          <w:p w:rsidR="00FE3703" w:rsidRDefault="00FE3703" w:rsidP="005351B8">
            <w:pPr>
              <w:ind w:right="-144"/>
              <w:jc w:val="both"/>
              <w:rPr>
                <w:rFonts w:cs="Calibri"/>
                <w:b/>
                <w:i/>
                <w:sz w:val="16"/>
                <w:szCs w:val="16"/>
              </w:rPr>
            </w:pPr>
          </w:p>
          <w:p w:rsidR="00FE3703" w:rsidRDefault="00FE3703" w:rsidP="005351B8">
            <w:pPr>
              <w:ind w:right="-144"/>
              <w:jc w:val="both"/>
              <w:rPr>
                <w:rFonts w:cs="Calibri"/>
                <w:b/>
                <w:i/>
                <w:sz w:val="16"/>
                <w:szCs w:val="16"/>
              </w:rPr>
            </w:pPr>
          </w:p>
          <w:p w:rsidR="00FE3703" w:rsidRDefault="00FE3703" w:rsidP="005351B8">
            <w:pPr>
              <w:ind w:right="-144"/>
              <w:jc w:val="both"/>
              <w:rPr>
                <w:rFonts w:cs="Calibri"/>
                <w:b/>
                <w:i/>
                <w:sz w:val="16"/>
                <w:szCs w:val="16"/>
              </w:rPr>
            </w:pPr>
          </w:p>
          <w:p w:rsidR="00FE3703" w:rsidRDefault="00FE3703" w:rsidP="005351B8">
            <w:pPr>
              <w:ind w:right="-144"/>
              <w:jc w:val="both"/>
              <w:rPr>
                <w:rFonts w:cs="Calibri"/>
                <w:b/>
                <w:i/>
                <w:sz w:val="16"/>
                <w:szCs w:val="16"/>
              </w:rPr>
            </w:pPr>
          </w:p>
          <w:p w:rsidR="00FE3703" w:rsidRDefault="00FE3703" w:rsidP="005351B8">
            <w:pPr>
              <w:ind w:right="-144"/>
              <w:jc w:val="both"/>
              <w:rPr>
                <w:rFonts w:cs="Calibri"/>
                <w:b/>
                <w:i/>
                <w:sz w:val="16"/>
                <w:szCs w:val="16"/>
              </w:rPr>
            </w:pPr>
          </w:p>
          <w:p w:rsidR="00FE3703" w:rsidRDefault="00FE3703" w:rsidP="005351B8">
            <w:pPr>
              <w:ind w:right="-144"/>
              <w:jc w:val="both"/>
              <w:rPr>
                <w:rFonts w:cs="Calibri"/>
                <w:b/>
                <w:i/>
                <w:sz w:val="16"/>
                <w:szCs w:val="16"/>
              </w:rPr>
            </w:pPr>
          </w:p>
          <w:p w:rsidR="00FE3703" w:rsidRDefault="00FE3703" w:rsidP="00FE3703">
            <w:pPr>
              <w:ind w:left="48"/>
              <w:jc w:val="both"/>
              <w:rPr>
                <w:rFonts w:cs="Calibri"/>
                <w:b/>
                <w:i/>
                <w:sz w:val="16"/>
                <w:szCs w:val="16"/>
              </w:rPr>
            </w:pPr>
          </w:p>
          <w:p w:rsidR="00E124E8" w:rsidRPr="00F9260E" w:rsidRDefault="00FE3703" w:rsidP="00FE3703">
            <w:pPr>
              <w:ind w:left="48"/>
              <w:rPr>
                <w:rFonts w:cs="Calibri"/>
                <w:i/>
                <w:sz w:val="16"/>
                <w:szCs w:val="16"/>
              </w:rPr>
            </w:pPr>
            <w:r w:rsidRPr="00FE3703">
              <w:rPr>
                <w:rFonts w:cs="Calibri"/>
                <w:b/>
                <w:i/>
                <w:sz w:val="16"/>
                <w:szCs w:val="16"/>
              </w:rPr>
              <w:t>Figure 1</w:t>
            </w:r>
            <w:r>
              <w:rPr>
                <w:rFonts w:cs="Calibri"/>
                <w:i/>
                <w:sz w:val="16"/>
                <w:szCs w:val="16"/>
              </w:rPr>
              <w:t xml:space="preserve">. </w:t>
            </w:r>
            <w:r w:rsidR="00F9260E" w:rsidRPr="00F9260E">
              <w:rPr>
                <w:rFonts w:cs="Calibri"/>
                <w:i/>
                <w:sz w:val="16"/>
                <w:szCs w:val="16"/>
              </w:rPr>
              <w:t>A. High riding patella (AP left knee radiograph) and B. High riding patella with avulsion tibial tubercle fracture (white arrow) (lateral left knee radiograph)</w:t>
            </w:r>
          </w:p>
        </w:tc>
      </w:tr>
    </w:tbl>
    <w:p w:rsidR="00E124E8" w:rsidRDefault="00E124E8" w:rsidP="005351B8">
      <w:pPr>
        <w:spacing w:after="0" w:line="240" w:lineRule="auto"/>
        <w:ind w:left="-144" w:right="-144"/>
        <w:jc w:val="both"/>
        <w:rPr>
          <w:rFonts w:cs="Calibri"/>
          <w:sz w:val="20"/>
          <w:szCs w:val="20"/>
        </w:rPr>
      </w:pPr>
    </w:p>
    <w:p w:rsidR="005351B8" w:rsidRDefault="00E124E8" w:rsidP="005351B8">
      <w:pPr>
        <w:spacing w:after="0" w:line="240" w:lineRule="auto"/>
        <w:ind w:left="-144" w:right="-144"/>
        <w:jc w:val="both"/>
        <w:rPr>
          <w:rFonts w:cs="Calibri"/>
          <w:sz w:val="20"/>
          <w:szCs w:val="20"/>
        </w:rPr>
      </w:pPr>
      <w:r w:rsidRPr="00E124E8">
        <w:rPr>
          <w:rFonts w:cs="Calibri"/>
          <w:sz w:val="20"/>
          <w:szCs w:val="20"/>
        </w:rPr>
        <w:t xml:space="preserve">The knee operation was scheduled within the next 8 hours. A 5 cm long longitudinal midline incision, was made over the area of the anterior tibial plateau, </w:t>
      </w:r>
      <w:r w:rsidRPr="00E124E8">
        <w:rPr>
          <w:rFonts w:cs="Calibri"/>
          <w:sz w:val="20"/>
          <w:szCs w:val="20"/>
        </w:rPr>
        <w:lastRenderedPageBreak/>
        <w:t>revealing that the patellar ligament was completely torn and separated from its attachment point and the tubercle fragment was comminuted and displaced proximally</w:t>
      </w:r>
      <w:r>
        <w:rPr>
          <w:rFonts w:cs="Calibri"/>
          <w:sz w:val="20"/>
          <w:szCs w:val="20"/>
        </w:rPr>
        <w:t>.</w:t>
      </w:r>
      <w:r w:rsidRPr="00E124E8">
        <w:rPr>
          <w:rFonts w:cs="Calibri"/>
          <w:i/>
          <w:sz w:val="20"/>
          <w:szCs w:val="20"/>
        </w:rPr>
        <w:t>(Figure 2)</w:t>
      </w:r>
      <w:r w:rsidRPr="00E124E8">
        <w:rPr>
          <w:rFonts w:cs="Calibri"/>
          <w:sz w:val="20"/>
          <w:szCs w:val="20"/>
        </w:rPr>
        <w:t xml:space="preserve"> Hemarthrosis was also present. With the use of C-arm fluoroscopy, the displaced TTF was fixed with two 4.0mm cannulated screws. Τhe patellar tendon extensions around the tibial tubercle were additionally fixed with transosseous sutures (synthetic absorbable sutures, PDS 2). A long-leg cylindrical cast was placed on the boy’s leg for 4 weeks. The fracture healing was confirmed by radiology 12 weeks after surgery</w:t>
      </w:r>
      <w:r>
        <w:rPr>
          <w:rFonts w:cs="Calibri"/>
          <w:sz w:val="20"/>
          <w:szCs w:val="20"/>
        </w:rPr>
        <w:t>.</w:t>
      </w:r>
      <w:r w:rsidRPr="00E124E8">
        <w:rPr>
          <w:rFonts w:cs="Calibri"/>
          <w:i/>
          <w:sz w:val="20"/>
          <w:szCs w:val="20"/>
        </w:rPr>
        <w:t>(Figure 3)</w:t>
      </w:r>
    </w:p>
    <w:p w:rsidR="00E124E8" w:rsidRPr="00AF432E" w:rsidRDefault="00AE0464" w:rsidP="005351B8">
      <w:pPr>
        <w:spacing w:after="0" w:line="240" w:lineRule="auto"/>
        <w:ind w:left="-144" w:right="-144"/>
        <w:jc w:val="both"/>
        <w:rPr>
          <w:rFonts w:cs="Calibri"/>
          <w:b/>
          <w:sz w:val="20"/>
          <w:szCs w:val="20"/>
        </w:rPr>
      </w:pPr>
      <w:r w:rsidRPr="00AF432E">
        <w:rPr>
          <w:rFonts w:cs="Calibri"/>
          <w:b/>
          <w:sz w:val="20"/>
          <w:szCs w:val="20"/>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5"/>
        <w:gridCol w:w="2151"/>
      </w:tblGrid>
      <w:tr w:rsidR="00E124E8" w:rsidTr="00FE3703">
        <w:trPr>
          <w:trHeight w:val="3510"/>
        </w:trPr>
        <w:tc>
          <w:tcPr>
            <w:tcW w:w="2628" w:type="dxa"/>
          </w:tcPr>
          <w:p w:rsidR="00E124E8" w:rsidRDefault="00E124E8" w:rsidP="00FE3703">
            <w:pPr>
              <w:ind w:left="-90" w:right="201"/>
              <w:jc w:val="center"/>
              <w:rPr>
                <w:rFonts w:cs="Calibri"/>
                <w:b/>
                <w:sz w:val="20"/>
                <w:szCs w:val="20"/>
              </w:rPr>
            </w:pPr>
            <w:r>
              <w:rPr>
                <w:rFonts w:cs="Calibri"/>
                <w:b/>
                <w:noProof/>
                <w:sz w:val="20"/>
                <w:szCs w:val="20"/>
                <w:lang w:val="el-GR" w:eastAsia="el-GR"/>
              </w:rPr>
              <w:drawing>
                <wp:inline distT="0" distB="0" distL="0" distR="0" wp14:anchorId="46BADAF3" wp14:editId="096E7020">
                  <wp:extent cx="1436915" cy="21986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2023 Figure 2.jpg"/>
                          <pic:cNvPicPr/>
                        </pic:nvPicPr>
                        <pic:blipFill>
                          <a:blip r:embed="rId11">
                            <a:extLst>
                              <a:ext uri="{28A0092B-C50C-407E-A947-70E740481C1C}">
                                <a14:useLocalDpi xmlns:a14="http://schemas.microsoft.com/office/drawing/2010/main" val="0"/>
                              </a:ext>
                            </a:extLst>
                          </a:blip>
                          <a:stretch>
                            <a:fillRect/>
                          </a:stretch>
                        </pic:blipFill>
                        <pic:spPr>
                          <a:xfrm>
                            <a:off x="0" y="0"/>
                            <a:ext cx="1436915" cy="2198613"/>
                          </a:xfrm>
                          <a:prstGeom prst="rect">
                            <a:avLst/>
                          </a:prstGeom>
                        </pic:spPr>
                      </pic:pic>
                    </a:graphicData>
                  </a:graphic>
                </wp:inline>
              </w:drawing>
            </w:r>
          </w:p>
        </w:tc>
        <w:tc>
          <w:tcPr>
            <w:tcW w:w="1908" w:type="dxa"/>
          </w:tcPr>
          <w:p w:rsidR="00E124E8" w:rsidRPr="00FE3703" w:rsidRDefault="00FE3703" w:rsidP="00FE3703">
            <w:pPr>
              <w:ind w:left="-114"/>
              <w:jc w:val="both"/>
              <w:rPr>
                <w:rFonts w:cs="Calibri"/>
                <w:b/>
                <w:i/>
                <w:sz w:val="16"/>
                <w:szCs w:val="16"/>
              </w:rPr>
            </w:pPr>
            <w:r>
              <w:rPr>
                <w:rFonts w:cs="Calibri"/>
                <w:b/>
                <w:noProof/>
                <w:lang w:val="el-GR" w:eastAsia="el-GR"/>
              </w:rPr>
              <w:drawing>
                <wp:inline distT="0" distB="0" distL="0" distR="0" wp14:anchorId="6C12D827" wp14:editId="29FB3506">
                  <wp:extent cx="1416461" cy="22005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2023 Figure 3.jpg"/>
                          <pic:cNvPicPr/>
                        </pic:nvPicPr>
                        <pic:blipFill>
                          <a:blip r:embed="rId12">
                            <a:extLst>
                              <a:ext uri="{28A0092B-C50C-407E-A947-70E740481C1C}">
                                <a14:useLocalDpi xmlns:a14="http://schemas.microsoft.com/office/drawing/2010/main" val="0"/>
                              </a:ext>
                            </a:extLst>
                          </a:blip>
                          <a:stretch>
                            <a:fillRect/>
                          </a:stretch>
                        </pic:blipFill>
                        <pic:spPr>
                          <a:xfrm>
                            <a:off x="0" y="0"/>
                            <a:ext cx="1441045" cy="2238783"/>
                          </a:xfrm>
                          <a:prstGeom prst="rect">
                            <a:avLst/>
                          </a:prstGeom>
                        </pic:spPr>
                      </pic:pic>
                    </a:graphicData>
                  </a:graphic>
                </wp:inline>
              </w:drawing>
            </w:r>
          </w:p>
        </w:tc>
      </w:tr>
      <w:tr w:rsidR="00FE3703" w:rsidTr="00FE3703">
        <w:tc>
          <w:tcPr>
            <w:tcW w:w="2628" w:type="dxa"/>
          </w:tcPr>
          <w:p w:rsidR="00FE3703" w:rsidRDefault="00FE3703" w:rsidP="00FE3703">
            <w:pPr>
              <w:ind w:left="90" w:right="72"/>
              <w:rPr>
                <w:rFonts w:cs="Calibri"/>
                <w:b/>
                <w:noProof/>
                <w:sz w:val="20"/>
                <w:szCs w:val="20"/>
                <w:lang w:val="el-GR" w:eastAsia="el-GR"/>
              </w:rPr>
            </w:pPr>
            <w:r w:rsidRPr="00FE3703">
              <w:rPr>
                <w:rFonts w:cs="Calibri"/>
                <w:b/>
                <w:i/>
                <w:sz w:val="16"/>
                <w:szCs w:val="16"/>
              </w:rPr>
              <w:t>Figure 2</w:t>
            </w:r>
            <w:r w:rsidRPr="00FE3703">
              <w:rPr>
                <w:rFonts w:cs="Calibri"/>
                <w:i/>
                <w:sz w:val="16"/>
                <w:szCs w:val="16"/>
              </w:rPr>
              <w:t>. Raised patella and patellar ligament, with a fragment of the tibial tubercle (arrow) attached to its edge (intraoperative photograph)</w:t>
            </w:r>
          </w:p>
        </w:tc>
        <w:tc>
          <w:tcPr>
            <w:tcW w:w="1908" w:type="dxa"/>
          </w:tcPr>
          <w:p w:rsidR="00FE3703" w:rsidRDefault="00FE3703" w:rsidP="00FE3703">
            <w:pPr>
              <w:rPr>
                <w:rFonts w:cs="Calibri"/>
                <w:b/>
                <w:i/>
                <w:sz w:val="16"/>
                <w:szCs w:val="16"/>
              </w:rPr>
            </w:pPr>
            <w:r w:rsidRPr="00FE3703">
              <w:rPr>
                <w:rFonts w:cs="Calibri"/>
                <w:b/>
                <w:i/>
                <w:sz w:val="16"/>
                <w:szCs w:val="16"/>
              </w:rPr>
              <w:t xml:space="preserve">Figure 3. </w:t>
            </w:r>
            <w:r w:rsidRPr="00FE3703">
              <w:rPr>
                <w:rFonts w:cs="Calibri"/>
                <w:i/>
                <w:sz w:val="16"/>
                <w:szCs w:val="16"/>
              </w:rPr>
              <w:t>Osteosynthesis of TTF. A. AP and B. lateral radiograph of the left knee, 8 weeks after surgery</w:t>
            </w:r>
          </w:p>
        </w:tc>
      </w:tr>
    </w:tbl>
    <w:p w:rsidR="00283A86" w:rsidRDefault="00283A86" w:rsidP="005351B8">
      <w:pPr>
        <w:spacing w:after="0" w:line="240" w:lineRule="auto"/>
        <w:ind w:left="-144" w:right="-144"/>
        <w:jc w:val="both"/>
        <w:rPr>
          <w:rFonts w:cs="Calibri"/>
          <w:b/>
          <w:sz w:val="20"/>
          <w:szCs w:val="20"/>
        </w:rPr>
      </w:pPr>
    </w:p>
    <w:p w:rsidR="00F9260E" w:rsidRPr="00F9260E" w:rsidRDefault="00F9260E" w:rsidP="005351B8">
      <w:pPr>
        <w:spacing w:after="0" w:line="240" w:lineRule="auto"/>
        <w:ind w:left="-144" w:right="-144"/>
        <w:jc w:val="both"/>
        <w:rPr>
          <w:rFonts w:cs="Calibri"/>
          <w:sz w:val="20"/>
          <w:szCs w:val="20"/>
        </w:rPr>
      </w:pPr>
      <w:r w:rsidRPr="00F9260E">
        <w:rPr>
          <w:rFonts w:cs="Calibri"/>
          <w:sz w:val="20"/>
          <w:szCs w:val="20"/>
        </w:rPr>
        <w:t>Physical therapy was implemented to restore knee movement. The extension mechanism of the injured knee progressively improved, and the patient had complete recovery of the range of motion. Osteosynthesis material was removed 12 months after the operation</w:t>
      </w:r>
      <w:r>
        <w:rPr>
          <w:rFonts w:cs="Calibri"/>
          <w:sz w:val="20"/>
          <w:szCs w:val="20"/>
        </w:rPr>
        <w:t>.</w:t>
      </w:r>
      <w:r w:rsidRPr="00F9260E">
        <w:rPr>
          <w:rFonts w:cs="Calibri"/>
          <w:i/>
          <w:sz w:val="20"/>
          <w:szCs w:val="20"/>
        </w:rPr>
        <w:t>(Figure 4)</w:t>
      </w:r>
      <w:r w:rsidRPr="00F9260E">
        <w:rPr>
          <w:rFonts w:cs="Calibri"/>
          <w:sz w:val="20"/>
          <w:szCs w:val="20"/>
        </w:rPr>
        <w:t xml:space="preserve"> The one-year follow-up confirmed full range of motion and no muscle atrophy, which enabled the boy’s full return to high-impact activities.</w:t>
      </w:r>
    </w:p>
    <w:p w:rsidR="00F9260E" w:rsidRDefault="00F9260E" w:rsidP="005351B8">
      <w:pPr>
        <w:spacing w:after="0" w:line="240" w:lineRule="auto"/>
        <w:ind w:left="-144" w:right="-144"/>
        <w:jc w:val="both"/>
        <w:rPr>
          <w:rFonts w:cs="Calibri"/>
          <w:b/>
          <w:sz w:val="20"/>
          <w:szCs w:val="20"/>
        </w:rPr>
      </w:pPr>
    </w:p>
    <w:p w:rsidR="00FE3703" w:rsidRPr="00CB2D12" w:rsidRDefault="00FE3703" w:rsidP="00FE3703">
      <w:pPr>
        <w:spacing w:after="0" w:line="240" w:lineRule="auto"/>
        <w:ind w:left="-144" w:right="-144"/>
        <w:rPr>
          <w:rFonts w:cs="Calibri"/>
          <w:b/>
        </w:rPr>
      </w:pPr>
      <w:r>
        <w:rPr>
          <w:rFonts w:cs="Calibri"/>
          <w:b/>
        </w:rPr>
        <w:t>Discussion</w:t>
      </w:r>
    </w:p>
    <w:p w:rsidR="00FE3703" w:rsidRPr="00F9260E" w:rsidRDefault="00FE3703" w:rsidP="00FE3703">
      <w:pPr>
        <w:spacing w:after="0" w:line="240" w:lineRule="auto"/>
        <w:ind w:left="-144" w:right="-144"/>
        <w:jc w:val="both"/>
        <w:rPr>
          <w:rFonts w:cs="Calibri"/>
          <w:sz w:val="20"/>
          <w:szCs w:val="20"/>
        </w:rPr>
      </w:pPr>
      <w:r>
        <w:rPr>
          <w:rFonts w:cs="Calibri"/>
          <w:sz w:val="20"/>
          <w:szCs w:val="20"/>
        </w:rPr>
        <w:tab/>
      </w:r>
      <w:r w:rsidRPr="00F9260E">
        <w:rPr>
          <w:rFonts w:cs="Calibri"/>
          <w:sz w:val="20"/>
          <w:szCs w:val="20"/>
        </w:rPr>
        <w:t>Avulsion TTF is a well-described injury in adolescent athletes, with an average onset age of 14.6 years old (range 13-16y)</w:t>
      </w:r>
      <w:r>
        <w:rPr>
          <w:rFonts w:cs="Calibri"/>
          <w:sz w:val="20"/>
          <w:szCs w:val="20"/>
        </w:rPr>
        <w:t>.</w:t>
      </w:r>
      <w:r w:rsidRPr="00FE3703">
        <w:rPr>
          <w:rFonts w:cs="Calibri"/>
          <w:sz w:val="20"/>
          <w:szCs w:val="20"/>
          <w:vertAlign w:val="superscript"/>
        </w:rPr>
        <w:t>2</w:t>
      </w:r>
      <w:r w:rsidRPr="00F9260E">
        <w:rPr>
          <w:rFonts w:cs="Calibri"/>
          <w:sz w:val="20"/>
          <w:szCs w:val="20"/>
        </w:rPr>
        <w:t xml:space="preserve"> Our case adds an innovative injury mechanism, namely low-energy trauma, to the very few published cases of tibial tubercle fractures with simultaneous patellar ligament avulsion. </w:t>
      </w:r>
    </w:p>
    <w:p w:rsidR="00FE3703" w:rsidRPr="00F9260E" w:rsidRDefault="00FE3703" w:rsidP="00FE3703">
      <w:pPr>
        <w:spacing w:after="0" w:line="240" w:lineRule="auto"/>
        <w:ind w:left="-144" w:right="-144"/>
        <w:jc w:val="both"/>
        <w:rPr>
          <w:rFonts w:cs="Calibri"/>
          <w:sz w:val="20"/>
          <w:szCs w:val="20"/>
        </w:rPr>
      </w:pPr>
      <w:r>
        <w:rPr>
          <w:rFonts w:cs="Calibri"/>
          <w:sz w:val="20"/>
          <w:szCs w:val="20"/>
        </w:rPr>
        <w:tab/>
      </w:r>
      <w:r w:rsidRPr="00F9260E">
        <w:rPr>
          <w:rFonts w:cs="Calibri"/>
          <w:sz w:val="20"/>
          <w:szCs w:val="20"/>
        </w:rPr>
        <w:t xml:space="preserve">Mayba </w:t>
      </w:r>
      <w:r>
        <w:rPr>
          <w:rFonts w:cs="Calibri"/>
          <w:sz w:val="20"/>
          <w:szCs w:val="20"/>
        </w:rPr>
        <w:t xml:space="preserve">in </w:t>
      </w:r>
      <w:r w:rsidRPr="00F9260E">
        <w:rPr>
          <w:rFonts w:cs="Calibri"/>
          <w:sz w:val="20"/>
          <w:szCs w:val="20"/>
        </w:rPr>
        <w:t>1982, was the first to describe TTF with complete patellar ligament avulsion due to high-energy trauma.</w:t>
      </w:r>
      <w:r w:rsidRPr="00FE3703">
        <w:rPr>
          <w:rFonts w:cs="Calibri"/>
          <w:sz w:val="20"/>
          <w:szCs w:val="20"/>
          <w:vertAlign w:val="superscript"/>
        </w:rPr>
        <w:t>4</w:t>
      </w:r>
      <w:r w:rsidRPr="00F9260E">
        <w:rPr>
          <w:rFonts w:cs="Calibri"/>
          <w:sz w:val="20"/>
          <w:szCs w:val="20"/>
        </w:rPr>
        <w:t xml:space="preserve"> Several studies noted that the most common </w:t>
      </w:r>
      <w:r w:rsidRPr="00F9260E">
        <w:rPr>
          <w:rFonts w:cs="Calibri"/>
          <w:sz w:val="20"/>
          <w:szCs w:val="20"/>
        </w:rPr>
        <w:lastRenderedPageBreak/>
        <w:t>mechanism was, in fact, high-energy jumping</w:t>
      </w:r>
      <w:r>
        <w:rPr>
          <w:rFonts w:cs="Calibri"/>
          <w:sz w:val="20"/>
          <w:szCs w:val="20"/>
        </w:rPr>
        <w:t>.</w:t>
      </w:r>
      <w:r w:rsidRPr="00FE3703">
        <w:rPr>
          <w:rFonts w:cs="Calibri"/>
          <w:sz w:val="20"/>
          <w:szCs w:val="20"/>
          <w:vertAlign w:val="superscript"/>
        </w:rPr>
        <w:t>6</w:t>
      </w:r>
      <w:r w:rsidRPr="00F9260E">
        <w:rPr>
          <w:rFonts w:cs="Calibri"/>
          <w:sz w:val="20"/>
          <w:szCs w:val="20"/>
        </w:rPr>
        <w:t xml:space="preserve"> Sports and gym training put additional stress on bones and muscles. Young people participating in such activities, which especially involve running and jumping, have an increased risk of TTFs</w:t>
      </w:r>
      <w:r>
        <w:rPr>
          <w:rFonts w:cs="Calibri"/>
          <w:sz w:val="20"/>
          <w:szCs w:val="20"/>
        </w:rPr>
        <w:t>.</w:t>
      </w:r>
      <w:r w:rsidRPr="00FE3703">
        <w:rPr>
          <w:rFonts w:cs="Calibri"/>
          <w:sz w:val="20"/>
          <w:szCs w:val="20"/>
          <w:vertAlign w:val="superscript"/>
        </w:rPr>
        <w:t>2</w:t>
      </w:r>
      <w:r w:rsidRPr="00F9260E">
        <w:rPr>
          <w:rFonts w:cs="Calibri"/>
          <w:sz w:val="20"/>
          <w:szCs w:val="20"/>
        </w:rPr>
        <w:t xml:space="preserve"> Violent active knee flexion against a tight quadriceps contraction (e.g. landing from a jump), or a violent quadriceps contraction against a fixed foot (e.g. jumping) are the usual causes of TTF</w:t>
      </w:r>
      <w:r>
        <w:rPr>
          <w:rFonts w:cs="Calibri"/>
          <w:sz w:val="20"/>
          <w:szCs w:val="20"/>
        </w:rPr>
        <w:t>.</w:t>
      </w:r>
      <w:r w:rsidRPr="00FE3703">
        <w:rPr>
          <w:rFonts w:cs="Calibri"/>
          <w:sz w:val="20"/>
          <w:szCs w:val="20"/>
          <w:vertAlign w:val="superscript"/>
        </w:rPr>
        <w:t>6</w:t>
      </w:r>
      <w:r w:rsidRPr="00F9260E">
        <w:rPr>
          <w:rFonts w:cs="Calibri"/>
          <w:sz w:val="20"/>
          <w:szCs w:val="20"/>
        </w:rPr>
        <w:t xml:space="preserve">. </w:t>
      </w:r>
    </w:p>
    <w:p w:rsidR="00BD636A" w:rsidRPr="00F9260E" w:rsidRDefault="00BD636A" w:rsidP="00BD636A">
      <w:pPr>
        <w:spacing w:after="0" w:line="240" w:lineRule="auto"/>
        <w:ind w:left="-144" w:right="-144"/>
        <w:jc w:val="both"/>
        <w:rPr>
          <w:rFonts w:cs="Calibri"/>
          <w:sz w:val="20"/>
          <w:szCs w:val="20"/>
        </w:rPr>
      </w:pPr>
      <w:r>
        <w:rPr>
          <w:rFonts w:cs="Calibri"/>
          <w:sz w:val="20"/>
          <w:szCs w:val="20"/>
        </w:rPr>
        <w:tab/>
      </w:r>
      <w:r w:rsidRPr="00F9260E">
        <w:rPr>
          <w:rFonts w:cs="Calibri"/>
          <w:sz w:val="20"/>
          <w:szCs w:val="20"/>
        </w:rPr>
        <w:t xml:space="preserve">Documented causative factors for the patellar tendon avulsion as well as for TTF in adolescents include osteogenesis </w:t>
      </w:r>
      <w:r>
        <w:rPr>
          <w:rFonts w:cs="Calibri"/>
          <w:sz w:val="20"/>
          <w:szCs w:val="20"/>
        </w:rPr>
        <w:t>imperfect</w:t>
      </w:r>
      <w:r w:rsidRPr="00F9260E">
        <w:rPr>
          <w:rFonts w:cs="Calibri"/>
          <w:sz w:val="20"/>
          <w:szCs w:val="20"/>
        </w:rPr>
        <w:t xml:space="preserve"> and Osgood- Schlatter disease, which often appears during puberty when bones, muscles, and tendons are growing at different rates</w:t>
      </w:r>
      <w:r>
        <w:rPr>
          <w:rFonts w:cs="Calibri"/>
          <w:sz w:val="20"/>
          <w:szCs w:val="20"/>
        </w:rPr>
        <w:t>.</w:t>
      </w:r>
      <w:r w:rsidRPr="00BD636A">
        <w:rPr>
          <w:rFonts w:cs="Calibri"/>
          <w:sz w:val="20"/>
          <w:szCs w:val="20"/>
          <w:vertAlign w:val="superscript"/>
        </w:rPr>
        <w:t>7,9</w:t>
      </w:r>
    </w:p>
    <w:p w:rsidR="00BD636A" w:rsidRPr="00F9260E" w:rsidRDefault="00BD636A" w:rsidP="00BD636A">
      <w:pPr>
        <w:spacing w:after="0" w:line="240" w:lineRule="auto"/>
        <w:ind w:left="-144" w:right="-144"/>
        <w:jc w:val="both"/>
        <w:rPr>
          <w:rFonts w:cs="Calibri"/>
          <w:sz w:val="20"/>
          <w:szCs w:val="20"/>
        </w:rPr>
      </w:pPr>
      <w:r>
        <w:rPr>
          <w:rFonts w:cs="Calibri"/>
          <w:sz w:val="20"/>
          <w:szCs w:val="20"/>
        </w:rPr>
        <w:tab/>
      </w:r>
      <w:r w:rsidRPr="00F9260E">
        <w:rPr>
          <w:rFonts w:cs="Calibri"/>
          <w:sz w:val="20"/>
          <w:szCs w:val="20"/>
        </w:rPr>
        <w:t xml:space="preserve">In our case the patient did not have any pre-existing radiographic or clinical signs of bone disease, and his injury was not the result of sports activity. TTF occurred after a rapid passive flexion and rotation of the knee against the contracting quadriceps: the boy was injured when he lost his balance while walking. It is astonishing how stumbling during a walk can cause such a severe injury to a young patient with no medical history. </w:t>
      </w:r>
    </w:p>
    <w:p w:rsidR="00F9260E" w:rsidRDefault="00BD636A" w:rsidP="00BD636A">
      <w:pPr>
        <w:spacing w:after="0" w:line="240" w:lineRule="auto"/>
        <w:ind w:left="-144" w:right="-144"/>
        <w:jc w:val="both"/>
        <w:rPr>
          <w:rFonts w:cs="Calibri"/>
          <w:sz w:val="20"/>
          <w:szCs w:val="20"/>
          <w:vertAlign w:val="superscript"/>
        </w:rPr>
      </w:pPr>
      <w:r>
        <w:rPr>
          <w:rFonts w:cs="Calibri"/>
          <w:sz w:val="20"/>
          <w:szCs w:val="20"/>
        </w:rPr>
        <w:tab/>
      </w:r>
      <w:r w:rsidRPr="00F9260E">
        <w:rPr>
          <w:rFonts w:cs="Calibri"/>
          <w:sz w:val="20"/>
          <w:szCs w:val="20"/>
        </w:rPr>
        <w:t>We applied the Watson-Jones classification of TTFs, modified by Ogden according to the level of displacement and comminution of the fragment and found it to be type IIB.</w:t>
      </w:r>
      <w:r w:rsidRPr="00BD636A">
        <w:rPr>
          <w:rFonts w:cs="Calibri"/>
          <w:sz w:val="20"/>
          <w:szCs w:val="20"/>
          <w:vertAlign w:val="superscript"/>
        </w:rPr>
        <w:t>6</w:t>
      </w:r>
      <w:r w:rsidRPr="00F9260E">
        <w:rPr>
          <w:rFonts w:cs="Calibri"/>
          <w:sz w:val="20"/>
          <w:szCs w:val="20"/>
        </w:rPr>
        <w:t xml:space="preserve"> In medical literature, type III TTFs are widely studied, while on the other hand a type II TTF with complete patellar tendon avulsion, resulting from low-energy trauma is an extraordinary phenomenon. Furthermore, a displaced avulsion of the entire ossification center of the tibial tubercle (usually ossified between 7 and 9 years of age) with comminution, imposed on a healthy 13-year-old patient should be considered as a medical rarity</w:t>
      </w:r>
      <w:r>
        <w:rPr>
          <w:rFonts w:cs="Calibri"/>
          <w:sz w:val="20"/>
          <w:szCs w:val="20"/>
        </w:rPr>
        <w:t>.</w:t>
      </w:r>
      <w:r w:rsidRPr="00BD636A">
        <w:rPr>
          <w:rFonts w:cs="Calibri"/>
          <w:sz w:val="20"/>
          <w:szCs w:val="20"/>
          <w:vertAlign w:val="superscript"/>
        </w:rPr>
        <w:t>2,3,4,8,9</w:t>
      </w:r>
    </w:p>
    <w:p w:rsidR="00BD636A" w:rsidRDefault="00BD636A" w:rsidP="00BD636A">
      <w:pPr>
        <w:spacing w:after="0" w:line="240" w:lineRule="auto"/>
        <w:ind w:left="-144" w:right="-144"/>
        <w:jc w:val="both"/>
        <w:rPr>
          <w:rFonts w:cs="Calibri"/>
          <w:sz w:val="20"/>
          <w:szCs w:val="20"/>
          <w:vertAlign w:val="superscript"/>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3"/>
        <w:gridCol w:w="2043"/>
      </w:tblGrid>
      <w:tr w:rsidR="00F9260E" w:rsidTr="00BD636A">
        <w:trPr>
          <w:jc w:val="center"/>
        </w:trPr>
        <w:tc>
          <w:tcPr>
            <w:tcW w:w="2493" w:type="dxa"/>
          </w:tcPr>
          <w:p w:rsidR="00F9260E" w:rsidRDefault="00F9260E" w:rsidP="00FE3703">
            <w:pPr>
              <w:ind w:right="15"/>
              <w:rPr>
                <w:rFonts w:cs="Calibri"/>
                <w:b/>
              </w:rPr>
            </w:pPr>
            <w:r>
              <w:rPr>
                <w:rFonts w:cs="Calibri"/>
                <w:b/>
                <w:noProof/>
                <w:lang w:val="el-GR" w:eastAsia="el-GR"/>
              </w:rPr>
              <w:drawing>
                <wp:inline distT="0" distB="0" distL="0" distR="0" wp14:anchorId="1EEE7001" wp14:editId="3C4BA0D8">
                  <wp:extent cx="1436914" cy="22358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2023 Figure 4.jpg"/>
                          <pic:cNvPicPr/>
                        </pic:nvPicPr>
                        <pic:blipFill>
                          <a:blip r:embed="rId13">
                            <a:extLst>
                              <a:ext uri="{28A0092B-C50C-407E-A947-70E740481C1C}">
                                <a14:useLocalDpi xmlns:a14="http://schemas.microsoft.com/office/drawing/2010/main" val="0"/>
                              </a:ext>
                            </a:extLst>
                          </a:blip>
                          <a:stretch>
                            <a:fillRect/>
                          </a:stretch>
                        </pic:blipFill>
                        <pic:spPr>
                          <a:xfrm>
                            <a:off x="0" y="0"/>
                            <a:ext cx="1436547" cy="2235293"/>
                          </a:xfrm>
                          <a:prstGeom prst="rect">
                            <a:avLst/>
                          </a:prstGeom>
                        </pic:spPr>
                      </pic:pic>
                    </a:graphicData>
                  </a:graphic>
                </wp:inline>
              </w:drawing>
            </w:r>
          </w:p>
        </w:tc>
        <w:tc>
          <w:tcPr>
            <w:tcW w:w="2043" w:type="dxa"/>
          </w:tcPr>
          <w:p w:rsidR="00FE3703" w:rsidRDefault="00FE3703" w:rsidP="00FE3703">
            <w:pPr>
              <w:ind w:right="72"/>
              <w:rPr>
                <w:rFonts w:cs="Calibri"/>
                <w:b/>
                <w:i/>
                <w:sz w:val="18"/>
                <w:szCs w:val="18"/>
              </w:rPr>
            </w:pPr>
          </w:p>
          <w:p w:rsidR="00FE3703" w:rsidRDefault="00FE3703" w:rsidP="00FE3703">
            <w:pPr>
              <w:ind w:right="72"/>
              <w:rPr>
                <w:rFonts w:cs="Calibri"/>
                <w:b/>
                <w:i/>
                <w:sz w:val="18"/>
                <w:szCs w:val="18"/>
              </w:rPr>
            </w:pPr>
          </w:p>
          <w:p w:rsidR="00FE3703" w:rsidRDefault="00FE3703" w:rsidP="00FE3703">
            <w:pPr>
              <w:ind w:right="72"/>
              <w:rPr>
                <w:rFonts w:cs="Calibri"/>
                <w:b/>
                <w:i/>
                <w:sz w:val="18"/>
                <w:szCs w:val="18"/>
              </w:rPr>
            </w:pPr>
          </w:p>
          <w:p w:rsidR="00FE3703" w:rsidRDefault="00FE3703" w:rsidP="00FE3703">
            <w:pPr>
              <w:ind w:right="72"/>
              <w:rPr>
                <w:rFonts w:cs="Calibri"/>
                <w:b/>
                <w:i/>
                <w:sz w:val="18"/>
                <w:szCs w:val="18"/>
              </w:rPr>
            </w:pPr>
          </w:p>
          <w:p w:rsidR="00FE3703" w:rsidRDefault="00FE3703" w:rsidP="00FE3703">
            <w:pPr>
              <w:ind w:right="72"/>
              <w:rPr>
                <w:rFonts w:cs="Calibri"/>
                <w:b/>
                <w:i/>
                <w:sz w:val="18"/>
                <w:szCs w:val="18"/>
              </w:rPr>
            </w:pPr>
          </w:p>
          <w:p w:rsidR="00FE3703" w:rsidRDefault="00FE3703" w:rsidP="00FE3703">
            <w:pPr>
              <w:ind w:right="72"/>
              <w:rPr>
                <w:rFonts w:cs="Calibri"/>
                <w:b/>
                <w:i/>
                <w:sz w:val="18"/>
                <w:szCs w:val="18"/>
              </w:rPr>
            </w:pPr>
          </w:p>
          <w:p w:rsidR="00FE3703" w:rsidRDefault="00FE3703" w:rsidP="00FE3703">
            <w:pPr>
              <w:ind w:right="72"/>
              <w:rPr>
                <w:rFonts w:cs="Calibri"/>
                <w:b/>
                <w:i/>
                <w:sz w:val="18"/>
                <w:szCs w:val="18"/>
              </w:rPr>
            </w:pPr>
          </w:p>
          <w:p w:rsidR="00FE3703" w:rsidRDefault="00FE3703" w:rsidP="00FE3703">
            <w:pPr>
              <w:ind w:right="72"/>
              <w:rPr>
                <w:rFonts w:cs="Calibri"/>
                <w:b/>
                <w:i/>
                <w:sz w:val="18"/>
                <w:szCs w:val="18"/>
              </w:rPr>
            </w:pPr>
          </w:p>
          <w:p w:rsidR="00FE3703" w:rsidRDefault="00FE3703" w:rsidP="00FE3703">
            <w:pPr>
              <w:ind w:right="72"/>
              <w:rPr>
                <w:rFonts w:cs="Calibri"/>
                <w:b/>
                <w:i/>
                <w:sz w:val="16"/>
                <w:szCs w:val="16"/>
              </w:rPr>
            </w:pPr>
          </w:p>
          <w:p w:rsidR="00FE3703" w:rsidRDefault="00FE3703" w:rsidP="00FE3703">
            <w:pPr>
              <w:ind w:right="72"/>
              <w:rPr>
                <w:rFonts w:cs="Calibri"/>
                <w:b/>
                <w:i/>
                <w:sz w:val="16"/>
                <w:szCs w:val="16"/>
              </w:rPr>
            </w:pPr>
          </w:p>
          <w:p w:rsidR="00FE3703" w:rsidRDefault="00FE3703" w:rsidP="00FE3703">
            <w:pPr>
              <w:ind w:right="72"/>
              <w:rPr>
                <w:rFonts w:cs="Calibri"/>
                <w:b/>
                <w:i/>
                <w:sz w:val="16"/>
                <w:szCs w:val="16"/>
              </w:rPr>
            </w:pPr>
          </w:p>
          <w:p w:rsidR="00F9260E" w:rsidRPr="00FE3703" w:rsidRDefault="00FE3703" w:rsidP="00FE3703">
            <w:pPr>
              <w:ind w:right="72"/>
              <w:rPr>
                <w:rFonts w:cs="Calibri"/>
                <w:b/>
                <w:i/>
                <w:sz w:val="16"/>
                <w:szCs w:val="16"/>
              </w:rPr>
            </w:pPr>
            <w:r w:rsidRPr="00FE3703">
              <w:rPr>
                <w:rFonts w:cs="Calibri"/>
                <w:b/>
                <w:i/>
                <w:sz w:val="16"/>
                <w:szCs w:val="16"/>
              </w:rPr>
              <w:t>Figure 4</w:t>
            </w:r>
            <w:r w:rsidRPr="00FE3703">
              <w:rPr>
                <w:rFonts w:cs="Calibri"/>
                <w:i/>
                <w:sz w:val="16"/>
                <w:szCs w:val="16"/>
              </w:rPr>
              <w:t>. Healed fracture after the removal of the osteosynthesis material, 1 year postoperatively. A. AP and B. lateral left knee radiograph</w:t>
            </w:r>
          </w:p>
        </w:tc>
      </w:tr>
    </w:tbl>
    <w:p w:rsidR="00F9260E" w:rsidRDefault="00F9260E" w:rsidP="00CB2D12">
      <w:pPr>
        <w:spacing w:after="0" w:line="240" w:lineRule="auto"/>
        <w:ind w:left="-144" w:right="-144"/>
        <w:rPr>
          <w:rFonts w:cs="Calibri"/>
          <w:b/>
        </w:rPr>
      </w:pPr>
    </w:p>
    <w:p w:rsidR="00F9260E" w:rsidRPr="00F9260E" w:rsidRDefault="00F9260E" w:rsidP="00F9260E">
      <w:pPr>
        <w:spacing w:after="0" w:line="240" w:lineRule="auto"/>
        <w:ind w:left="-144" w:right="-144"/>
        <w:jc w:val="both"/>
        <w:rPr>
          <w:rFonts w:cs="Calibri"/>
          <w:sz w:val="20"/>
          <w:szCs w:val="20"/>
        </w:rPr>
      </w:pPr>
      <w:r>
        <w:rPr>
          <w:rFonts w:cs="Calibri"/>
          <w:sz w:val="20"/>
          <w:szCs w:val="20"/>
        </w:rPr>
        <w:tab/>
      </w:r>
      <w:r w:rsidRPr="00F9260E">
        <w:rPr>
          <w:rFonts w:cs="Calibri"/>
          <w:sz w:val="20"/>
          <w:szCs w:val="20"/>
        </w:rPr>
        <w:t xml:space="preserve"> Surgery to treat TTFs is reserved for cases with comminution of the tibial tubercle. The immobilization period usually lasts between 3 and 6 weeks, after which </w:t>
      </w:r>
      <w:r w:rsidRPr="00F9260E">
        <w:rPr>
          <w:rFonts w:cs="Calibri"/>
          <w:sz w:val="20"/>
          <w:szCs w:val="20"/>
        </w:rPr>
        <w:lastRenderedPageBreak/>
        <w:t>the range of motion is gradually restored</w:t>
      </w:r>
      <w:r w:rsidR="00BD636A">
        <w:rPr>
          <w:rFonts w:cs="Calibri"/>
          <w:sz w:val="20"/>
          <w:szCs w:val="20"/>
        </w:rPr>
        <w:t>.</w:t>
      </w:r>
      <w:r w:rsidR="00BD636A" w:rsidRPr="00BD636A">
        <w:rPr>
          <w:rFonts w:cs="Calibri"/>
          <w:sz w:val="20"/>
          <w:szCs w:val="20"/>
          <w:vertAlign w:val="superscript"/>
        </w:rPr>
        <w:t>2,3,4,7</w:t>
      </w:r>
      <w:r w:rsidRPr="00F9260E">
        <w:rPr>
          <w:rFonts w:cs="Calibri"/>
          <w:sz w:val="20"/>
          <w:szCs w:val="20"/>
        </w:rPr>
        <w:t xml:space="preserve"> Our case received the same surgical treatment, followed by leg immobilization within the suggested time limits and resulted in full recovery of knee function. We, therefore, suggest that type IIB TTF combined with patellar ligament avulsion should be treated with specialized open surgery for TTF repair to avoid grave consequences in the patient’s quality of life.</w:t>
      </w:r>
    </w:p>
    <w:p w:rsidR="00F9260E" w:rsidRPr="00F9260E" w:rsidRDefault="00F9260E" w:rsidP="00F9260E">
      <w:pPr>
        <w:spacing w:after="0" w:line="240" w:lineRule="auto"/>
        <w:ind w:left="-144" w:right="-144"/>
        <w:jc w:val="both"/>
        <w:rPr>
          <w:rFonts w:cs="Calibri"/>
          <w:sz w:val="20"/>
          <w:szCs w:val="20"/>
        </w:rPr>
      </w:pPr>
      <w:r>
        <w:rPr>
          <w:rFonts w:cs="Calibri"/>
          <w:sz w:val="20"/>
          <w:szCs w:val="20"/>
        </w:rPr>
        <w:tab/>
      </w:r>
      <w:r w:rsidRPr="00F9260E">
        <w:rPr>
          <w:rFonts w:cs="Calibri"/>
          <w:sz w:val="20"/>
          <w:szCs w:val="20"/>
        </w:rPr>
        <w:t xml:space="preserve">It seems that low energy activity in adolescents, even in cases having no additional risk factors, can traumatize the knee joint more severely than is reported in the literature. </w:t>
      </w:r>
    </w:p>
    <w:p w:rsidR="00F9260E" w:rsidRDefault="00F9260E" w:rsidP="00F9260E">
      <w:pPr>
        <w:spacing w:after="0" w:line="240" w:lineRule="auto"/>
        <w:ind w:left="-144" w:right="-144"/>
        <w:jc w:val="both"/>
        <w:rPr>
          <w:rFonts w:cs="Calibri"/>
          <w:sz w:val="12"/>
          <w:szCs w:val="12"/>
        </w:rPr>
      </w:pPr>
    </w:p>
    <w:p w:rsidR="00FE3703" w:rsidRPr="00F9260E" w:rsidRDefault="00FE3703" w:rsidP="00F9260E">
      <w:pPr>
        <w:spacing w:after="0" w:line="240" w:lineRule="auto"/>
        <w:ind w:left="-144" w:right="-144"/>
        <w:jc w:val="both"/>
        <w:rPr>
          <w:rFonts w:cs="Calibri"/>
          <w:sz w:val="12"/>
          <w:szCs w:val="12"/>
        </w:rPr>
      </w:pPr>
    </w:p>
    <w:p w:rsidR="00F9260E" w:rsidRPr="00F9260E" w:rsidRDefault="00F9260E" w:rsidP="00F9260E">
      <w:pPr>
        <w:spacing w:after="0" w:line="240" w:lineRule="auto"/>
        <w:ind w:left="-144" w:right="-144"/>
        <w:jc w:val="both"/>
        <w:rPr>
          <w:rFonts w:cs="Calibri"/>
          <w:b/>
          <w:i/>
          <w:sz w:val="16"/>
          <w:szCs w:val="16"/>
        </w:rPr>
      </w:pPr>
      <w:r w:rsidRPr="00F9260E">
        <w:rPr>
          <w:rFonts w:cs="Calibri"/>
          <w:b/>
          <w:i/>
          <w:sz w:val="16"/>
          <w:szCs w:val="16"/>
        </w:rPr>
        <w:t>Conflicts of Interest Statement</w:t>
      </w:r>
    </w:p>
    <w:p w:rsidR="00F9260E" w:rsidRPr="00F9260E" w:rsidRDefault="00F9260E" w:rsidP="00F9260E">
      <w:pPr>
        <w:spacing w:after="0" w:line="240" w:lineRule="auto"/>
        <w:ind w:left="-144" w:right="-144"/>
        <w:jc w:val="both"/>
        <w:rPr>
          <w:rFonts w:cs="Calibri"/>
          <w:i/>
          <w:sz w:val="16"/>
          <w:szCs w:val="16"/>
        </w:rPr>
      </w:pPr>
      <w:r w:rsidRPr="00F9260E">
        <w:rPr>
          <w:rFonts w:cs="Calibri"/>
          <w:i/>
          <w:sz w:val="16"/>
          <w:szCs w:val="16"/>
        </w:rPr>
        <w:t>The Authors declare that there is no conflict of interest.</w:t>
      </w:r>
    </w:p>
    <w:p w:rsidR="00F9260E" w:rsidRPr="00F9260E" w:rsidRDefault="00F9260E" w:rsidP="00F9260E">
      <w:pPr>
        <w:spacing w:after="0" w:line="240" w:lineRule="auto"/>
        <w:ind w:left="-144" w:right="-144"/>
        <w:jc w:val="both"/>
        <w:rPr>
          <w:rFonts w:cs="Calibri"/>
          <w:i/>
          <w:sz w:val="8"/>
          <w:szCs w:val="8"/>
        </w:rPr>
      </w:pPr>
    </w:p>
    <w:p w:rsidR="00F9260E" w:rsidRPr="00F9260E" w:rsidRDefault="00F9260E" w:rsidP="00F9260E">
      <w:pPr>
        <w:spacing w:after="0" w:line="240" w:lineRule="auto"/>
        <w:ind w:left="-144" w:right="-144"/>
        <w:jc w:val="both"/>
        <w:rPr>
          <w:rFonts w:cs="Calibri"/>
          <w:b/>
          <w:i/>
          <w:sz w:val="16"/>
          <w:szCs w:val="16"/>
        </w:rPr>
      </w:pPr>
      <w:r w:rsidRPr="00F9260E">
        <w:rPr>
          <w:rFonts w:cs="Calibri"/>
          <w:b/>
          <w:i/>
          <w:sz w:val="16"/>
          <w:szCs w:val="16"/>
        </w:rPr>
        <w:t>Funding/Support Statement</w:t>
      </w:r>
    </w:p>
    <w:p w:rsidR="009145AE" w:rsidRDefault="00F9260E" w:rsidP="00F9260E">
      <w:pPr>
        <w:spacing w:after="0" w:line="240" w:lineRule="auto"/>
        <w:ind w:left="-144" w:right="-144"/>
        <w:jc w:val="both"/>
        <w:rPr>
          <w:rFonts w:cs="Calibri"/>
          <w:i/>
          <w:sz w:val="16"/>
          <w:szCs w:val="16"/>
        </w:rPr>
      </w:pPr>
      <w:r w:rsidRPr="00F9260E">
        <w:rPr>
          <w:rFonts w:cs="Calibri"/>
          <w:i/>
          <w:sz w:val="16"/>
          <w:szCs w:val="16"/>
        </w:rPr>
        <w:t>The Authors declare that there is no funding/support statement.</w:t>
      </w:r>
    </w:p>
    <w:p w:rsidR="00F9260E" w:rsidRDefault="00F9260E" w:rsidP="00F9260E">
      <w:pPr>
        <w:spacing w:after="0" w:line="240" w:lineRule="auto"/>
        <w:ind w:left="-144" w:right="-144"/>
        <w:jc w:val="both"/>
        <w:rPr>
          <w:rFonts w:cs="Calibri"/>
          <w:i/>
          <w:sz w:val="16"/>
          <w:szCs w:val="16"/>
        </w:rPr>
      </w:pPr>
    </w:p>
    <w:p w:rsidR="00FE3703" w:rsidRDefault="00FE3703" w:rsidP="00F9260E">
      <w:pPr>
        <w:spacing w:after="0" w:line="240" w:lineRule="auto"/>
        <w:ind w:left="-144" w:right="-144"/>
        <w:jc w:val="both"/>
        <w:rPr>
          <w:rFonts w:cs="Calibri"/>
          <w:i/>
          <w:sz w:val="16"/>
          <w:szCs w:val="16"/>
        </w:rPr>
      </w:pPr>
    </w:p>
    <w:p w:rsidR="00F9260E" w:rsidRPr="007911B6" w:rsidRDefault="00F9260E" w:rsidP="00F9260E">
      <w:pPr>
        <w:spacing w:after="0" w:line="240" w:lineRule="auto"/>
        <w:ind w:left="-144" w:right="-144"/>
        <w:jc w:val="both"/>
        <w:rPr>
          <w:rFonts w:cs="Calibri"/>
          <w:b/>
        </w:rPr>
      </w:pPr>
      <w:r w:rsidRPr="007911B6">
        <w:rPr>
          <w:rFonts w:cs="Calibri"/>
          <w:b/>
        </w:rPr>
        <w:t>References</w:t>
      </w:r>
    </w:p>
    <w:p w:rsidR="00F9260E" w:rsidRPr="00F9260E" w:rsidRDefault="00F9260E" w:rsidP="00F9260E">
      <w:pPr>
        <w:pStyle w:val="Bibliography"/>
        <w:spacing w:after="0"/>
        <w:ind w:left="0" w:right="-144" w:firstLine="90"/>
        <w:jc w:val="both"/>
        <w:rPr>
          <w:rFonts w:cs="Calibri"/>
          <w:sz w:val="20"/>
          <w:szCs w:val="20"/>
        </w:rPr>
      </w:pPr>
      <w:r w:rsidRPr="00F9260E">
        <w:rPr>
          <w:rFonts w:cs="Calibri"/>
          <w:sz w:val="20"/>
          <w:szCs w:val="20"/>
        </w:rPr>
        <w:t>1.</w:t>
      </w:r>
      <w:r w:rsidRPr="00F9260E">
        <w:rPr>
          <w:rFonts w:cs="Calibri"/>
          <w:sz w:val="20"/>
          <w:szCs w:val="20"/>
        </w:rPr>
        <w:tab/>
        <w:t xml:space="preserve">Hamilton SW, Gibson PH: Simultaneous bilateral avulsion fractures of the tibial tuberosity in adolescence: A case report and review of over 50 years of literature. Knee. 2006, 13:404-407. </w:t>
      </w:r>
    </w:p>
    <w:p w:rsidR="00F9260E" w:rsidRPr="00F9260E" w:rsidRDefault="00F9260E" w:rsidP="00F9260E">
      <w:pPr>
        <w:pStyle w:val="Bibliography"/>
        <w:spacing w:after="0"/>
        <w:ind w:left="0" w:right="-144" w:firstLine="90"/>
        <w:jc w:val="both"/>
        <w:rPr>
          <w:rFonts w:cs="Calibri"/>
          <w:sz w:val="20"/>
          <w:szCs w:val="20"/>
        </w:rPr>
      </w:pPr>
      <w:r w:rsidRPr="00F9260E">
        <w:rPr>
          <w:rFonts w:cs="Calibri"/>
          <w:sz w:val="20"/>
          <w:szCs w:val="20"/>
        </w:rPr>
        <w:t>2.</w:t>
      </w:r>
      <w:r w:rsidRPr="00F9260E">
        <w:rPr>
          <w:rFonts w:cs="Calibri"/>
          <w:sz w:val="20"/>
          <w:szCs w:val="20"/>
        </w:rPr>
        <w:tab/>
        <w:t xml:space="preserve">Pretell-Mazzini J, Kelly DM, Sawyer JR, Esteban EM, Spence DD, Warner WC Jr, Beaty JH: Outcomes and Complications of Tibial Tubercle Fractures in </w:t>
      </w:r>
      <w:r w:rsidRPr="00F9260E">
        <w:rPr>
          <w:rFonts w:cs="Calibri"/>
          <w:sz w:val="20"/>
          <w:szCs w:val="20"/>
        </w:rPr>
        <w:lastRenderedPageBreak/>
        <w:t xml:space="preserve">Pediatric Patients: A Systematic Review of the Literature. J Pediatr Orthop. 2016, 36:440-6. </w:t>
      </w:r>
    </w:p>
    <w:p w:rsidR="00F9260E" w:rsidRPr="00F9260E" w:rsidRDefault="00F9260E" w:rsidP="00F9260E">
      <w:pPr>
        <w:pStyle w:val="Bibliography"/>
        <w:spacing w:after="0"/>
        <w:ind w:left="0" w:right="-144" w:firstLine="90"/>
        <w:jc w:val="both"/>
        <w:rPr>
          <w:rFonts w:cs="Calibri"/>
          <w:sz w:val="20"/>
          <w:szCs w:val="20"/>
        </w:rPr>
      </w:pPr>
      <w:r w:rsidRPr="00F9260E">
        <w:rPr>
          <w:rFonts w:cs="Calibri"/>
          <w:sz w:val="20"/>
          <w:szCs w:val="20"/>
        </w:rPr>
        <w:t>3.</w:t>
      </w:r>
      <w:r w:rsidRPr="00F9260E">
        <w:rPr>
          <w:rFonts w:cs="Calibri"/>
          <w:sz w:val="20"/>
          <w:szCs w:val="20"/>
        </w:rPr>
        <w:tab/>
        <w:t xml:space="preserve">Yousef MAA: Combined avulsion fracture of the tibial tubercle and patellar tendon rupture in pediatric population: case series and review of literature. Eur J Orthop Surg Traumatol. 2018, 28:317-323. </w:t>
      </w:r>
    </w:p>
    <w:p w:rsidR="00F9260E" w:rsidRPr="00F9260E" w:rsidRDefault="00F9260E" w:rsidP="00F9260E">
      <w:pPr>
        <w:pStyle w:val="Bibliography"/>
        <w:spacing w:after="0"/>
        <w:ind w:left="0" w:right="-144" w:firstLine="90"/>
        <w:jc w:val="both"/>
        <w:rPr>
          <w:rFonts w:cs="Calibri"/>
          <w:sz w:val="20"/>
          <w:szCs w:val="20"/>
        </w:rPr>
      </w:pPr>
      <w:r w:rsidRPr="00F9260E">
        <w:rPr>
          <w:rFonts w:cs="Calibri"/>
          <w:sz w:val="20"/>
          <w:szCs w:val="20"/>
        </w:rPr>
        <w:t>4.</w:t>
      </w:r>
      <w:r w:rsidRPr="00F9260E">
        <w:rPr>
          <w:rFonts w:cs="Calibri"/>
          <w:sz w:val="20"/>
          <w:szCs w:val="20"/>
        </w:rPr>
        <w:tab/>
        <w:t xml:space="preserve">Mayba II: Avulsion fracture of the tibial tubercle apophysis with avulsion of patellar ligament. J Pediatr Orthop. 1982, 2:303-5. </w:t>
      </w:r>
    </w:p>
    <w:p w:rsidR="00F9260E" w:rsidRPr="00F9260E" w:rsidRDefault="00F9260E" w:rsidP="00F9260E">
      <w:pPr>
        <w:pStyle w:val="Bibliography"/>
        <w:spacing w:after="0"/>
        <w:ind w:left="0" w:right="-144" w:firstLine="90"/>
        <w:jc w:val="both"/>
        <w:rPr>
          <w:rFonts w:cs="Calibri"/>
          <w:sz w:val="20"/>
          <w:szCs w:val="20"/>
        </w:rPr>
      </w:pPr>
      <w:r w:rsidRPr="00F9260E">
        <w:rPr>
          <w:rFonts w:cs="Calibri"/>
          <w:sz w:val="20"/>
          <w:szCs w:val="20"/>
        </w:rPr>
        <w:t>5.</w:t>
      </w:r>
      <w:r w:rsidRPr="00F9260E">
        <w:rPr>
          <w:rFonts w:cs="Calibri"/>
          <w:sz w:val="20"/>
          <w:szCs w:val="20"/>
        </w:rPr>
        <w:tab/>
        <w:t>Ogden JA, Tross RB, Murphy MJ: Fractures of the tibial tuberosity in adolescents. J Bone Joint Surg Am. 1980, 62:205-215.</w:t>
      </w:r>
    </w:p>
    <w:p w:rsidR="00F9260E" w:rsidRPr="00F9260E" w:rsidRDefault="00F9260E" w:rsidP="00F9260E">
      <w:pPr>
        <w:pStyle w:val="Bibliography"/>
        <w:spacing w:after="0"/>
        <w:ind w:left="0" w:right="-144" w:firstLine="90"/>
        <w:jc w:val="both"/>
        <w:rPr>
          <w:rFonts w:cs="Calibri"/>
          <w:sz w:val="20"/>
          <w:szCs w:val="20"/>
        </w:rPr>
      </w:pPr>
      <w:r w:rsidRPr="00F9260E">
        <w:rPr>
          <w:rFonts w:cs="Calibri"/>
          <w:sz w:val="20"/>
          <w:szCs w:val="20"/>
        </w:rPr>
        <w:t>6.</w:t>
      </w:r>
      <w:r w:rsidRPr="00F9260E">
        <w:rPr>
          <w:rFonts w:cs="Calibri"/>
          <w:sz w:val="20"/>
          <w:szCs w:val="20"/>
        </w:rPr>
        <w:tab/>
        <w:t xml:space="preserve">Mirbey J, Besancenot J, Chambers RT, Durey A, Vichard P: Avulsion fractures of the tibial tuberosity in the adolescent athlete. Risk factors, mechanism of injury, and treatment. Am J Sports Med. 1988, 16:336-40. </w:t>
      </w:r>
    </w:p>
    <w:p w:rsidR="00F9260E" w:rsidRPr="00F9260E" w:rsidRDefault="00F9260E" w:rsidP="00F9260E">
      <w:pPr>
        <w:pStyle w:val="Bibliography"/>
        <w:spacing w:after="0"/>
        <w:ind w:left="0" w:right="-144" w:firstLine="90"/>
        <w:jc w:val="both"/>
        <w:rPr>
          <w:rFonts w:cs="Calibri"/>
          <w:sz w:val="20"/>
          <w:szCs w:val="20"/>
        </w:rPr>
      </w:pPr>
      <w:r w:rsidRPr="00F9260E">
        <w:rPr>
          <w:rFonts w:cs="Calibri"/>
          <w:sz w:val="20"/>
          <w:szCs w:val="20"/>
        </w:rPr>
        <w:t>7.</w:t>
      </w:r>
      <w:r w:rsidRPr="00F9260E">
        <w:rPr>
          <w:rFonts w:cs="Calibri"/>
          <w:sz w:val="20"/>
          <w:szCs w:val="20"/>
        </w:rPr>
        <w:tab/>
        <w:t xml:space="preserve">Yousef MAA, Rosenfeld S: Acute traumatic rupture of the patellar tendon in pediatric population: Case series and review of the literature. Injury. 2017, 48:2515-2521. </w:t>
      </w:r>
    </w:p>
    <w:p w:rsidR="00F9260E" w:rsidRPr="00F9260E" w:rsidRDefault="00F9260E" w:rsidP="00F9260E">
      <w:pPr>
        <w:pStyle w:val="Bibliography"/>
        <w:spacing w:after="0"/>
        <w:ind w:left="0" w:right="-144" w:firstLine="90"/>
        <w:jc w:val="both"/>
        <w:rPr>
          <w:rFonts w:cs="Calibri"/>
          <w:sz w:val="20"/>
          <w:szCs w:val="20"/>
        </w:rPr>
      </w:pPr>
      <w:r w:rsidRPr="00F9260E">
        <w:rPr>
          <w:rFonts w:cs="Calibri"/>
          <w:sz w:val="20"/>
          <w:szCs w:val="20"/>
        </w:rPr>
        <w:t>8.</w:t>
      </w:r>
      <w:r w:rsidRPr="00F9260E">
        <w:rPr>
          <w:rFonts w:cs="Calibri"/>
          <w:sz w:val="20"/>
          <w:szCs w:val="20"/>
        </w:rPr>
        <w:tab/>
        <w:t xml:space="preserve">Capogna B, Strauss E, Konda S, Dayan A, Alaia M: Distal patellar tendon avulsion in association with high-energy knee trauma: A case series and review of the literature. Knee. 2017, 24:468-476. </w:t>
      </w:r>
    </w:p>
    <w:p w:rsidR="00F9260E" w:rsidRPr="009145AE" w:rsidRDefault="00F9260E" w:rsidP="00F9260E">
      <w:pPr>
        <w:pStyle w:val="Bibliography"/>
        <w:spacing w:after="0"/>
        <w:ind w:left="0" w:right="-144" w:firstLine="90"/>
        <w:jc w:val="both"/>
        <w:rPr>
          <w:rFonts w:ascii="Times New Roman" w:hAnsi="Times New Roman"/>
          <w:sz w:val="24"/>
          <w:szCs w:val="24"/>
        </w:rPr>
      </w:pPr>
      <w:r w:rsidRPr="00F9260E">
        <w:rPr>
          <w:rFonts w:cs="Calibri"/>
          <w:sz w:val="20"/>
          <w:szCs w:val="20"/>
        </w:rPr>
        <w:t>9.</w:t>
      </w:r>
      <w:r w:rsidRPr="00F9260E">
        <w:rPr>
          <w:rFonts w:cs="Calibri"/>
          <w:sz w:val="20"/>
          <w:szCs w:val="20"/>
        </w:rPr>
        <w:tab/>
        <w:t>Carius B. M., Long B. Osgood-Schlatter Disease as a Possible Cause of Tibial Tuberosity Avulsion. Cureus, 13(2)</w:t>
      </w:r>
    </w:p>
    <w:p w:rsidR="00F9260E" w:rsidRDefault="00F9260E" w:rsidP="007911B6">
      <w:pPr>
        <w:spacing w:after="0" w:line="240" w:lineRule="auto"/>
        <w:ind w:left="-144" w:right="-144"/>
        <w:jc w:val="both"/>
        <w:rPr>
          <w:rFonts w:cs="Calibri"/>
          <w:b/>
          <w:sz w:val="20"/>
          <w:szCs w:val="20"/>
          <w:lang w:eastAsia="el-GR"/>
        </w:rPr>
        <w:sectPr w:rsidR="00F9260E" w:rsidSect="00F9260E">
          <w:type w:val="continuous"/>
          <w:pgSz w:w="12240" w:h="15840"/>
          <w:pgMar w:top="1440" w:right="1440" w:bottom="1440" w:left="1440" w:header="720" w:footer="720" w:gutter="0"/>
          <w:cols w:num="2" w:space="720"/>
          <w:docGrid w:linePitch="360"/>
        </w:sectPr>
      </w:pPr>
    </w:p>
    <w:p w:rsidR="00AE0464" w:rsidRPr="00AF432E" w:rsidRDefault="00AE0464" w:rsidP="007911B6">
      <w:pPr>
        <w:spacing w:after="0" w:line="240" w:lineRule="auto"/>
        <w:ind w:left="-144" w:right="-144"/>
        <w:jc w:val="both"/>
        <w:rPr>
          <w:rFonts w:cs="Calibri"/>
          <w:b/>
          <w:sz w:val="20"/>
          <w:szCs w:val="20"/>
          <w:lang w:eastAsia="el-GR"/>
        </w:rPr>
      </w:pPr>
    </w:p>
    <w:p w:rsidR="00F9260E" w:rsidRPr="009145AE" w:rsidRDefault="00F9260E">
      <w:pPr>
        <w:pStyle w:val="Bibliography"/>
        <w:spacing w:after="0"/>
        <w:ind w:left="0" w:right="-144" w:firstLine="90"/>
        <w:jc w:val="both"/>
        <w:rPr>
          <w:rFonts w:ascii="Times New Roman" w:hAnsi="Times New Roman"/>
          <w:sz w:val="24"/>
          <w:szCs w:val="24"/>
        </w:rPr>
      </w:pPr>
    </w:p>
    <w:sectPr w:rsidR="00F9260E" w:rsidRPr="009145AE" w:rsidSect="00F9260E">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D9B" w:rsidRDefault="00B27D9B" w:rsidP="00AF432E">
      <w:pPr>
        <w:spacing w:after="0" w:line="240" w:lineRule="auto"/>
      </w:pPr>
      <w:r>
        <w:separator/>
      </w:r>
    </w:p>
  </w:endnote>
  <w:endnote w:type="continuationSeparator" w:id="0">
    <w:p w:rsidR="00B27D9B" w:rsidRDefault="00B27D9B" w:rsidP="00AF4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32E" w:rsidRPr="00FE3703" w:rsidRDefault="005351B8" w:rsidP="00AF432E">
    <w:pPr>
      <w:spacing w:after="0" w:line="240" w:lineRule="auto"/>
      <w:jc w:val="center"/>
      <w:rPr>
        <w:sz w:val="20"/>
        <w:szCs w:val="20"/>
      </w:rPr>
    </w:pPr>
    <w:r w:rsidRPr="00FE3703">
      <w:rPr>
        <w:rFonts w:cs="Calibri"/>
        <w:sz w:val="20"/>
        <w:szCs w:val="20"/>
        <w:lang w:eastAsia="el-GR"/>
      </w:rPr>
      <w:t>Malkidou N</w:t>
    </w:r>
    <w:r w:rsidR="00AF432E" w:rsidRPr="00FE3703">
      <w:rPr>
        <w:rFonts w:cs="Calibri"/>
        <w:sz w:val="20"/>
        <w:szCs w:val="20"/>
        <w:lang w:eastAsia="el-GR"/>
      </w:rPr>
      <w:t xml:space="preserve">., et al.: </w:t>
    </w:r>
    <w:r w:rsidRPr="00FE3703">
      <w:rPr>
        <w:rFonts w:cs="Calibri"/>
        <w:sz w:val="20"/>
        <w:szCs w:val="20"/>
        <w:lang w:eastAsia="el-GR"/>
      </w:rPr>
      <w:t>Avulsion tibial tubercle fracture, resulting from a low energy trauma</w:t>
    </w:r>
    <w:r w:rsidR="00AF432E" w:rsidRPr="00FE3703">
      <w:rPr>
        <w:rFonts w:cs="Calibri"/>
        <w:sz w:val="20"/>
        <w:szCs w:val="20"/>
        <w:lang w:eastAsia="el-GR"/>
      </w:rPr>
      <w:tab/>
    </w:r>
    <w:r w:rsidR="00AF432E" w:rsidRPr="00FE3703">
      <w:rPr>
        <w:rFonts w:cs="Calibri"/>
        <w:sz w:val="20"/>
        <w:szCs w:val="20"/>
        <w:lang w:eastAsia="el-GR"/>
      </w:rPr>
      <w:tab/>
    </w:r>
    <w:r w:rsidR="00AF432E" w:rsidRPr="00FE3703">
      <w:rPr>
        <w:sz w:val="20"/>
        <w:szCs w:val="20"/>
      </w:rPr>
      <w:t xml:space="preserve"> </w:t>
    </w:r>
    <w:r w:rsidR="00AF432E" w:rsidRPr="00FE3703">
      <w:rPr>
        <w:sz w:val="20"/>
        <w:szCs w:val="20"/>
      </w:rPr>
      <w:fldChar w:fldCharType="begin"/>
    </w:r>
    <w:r w:rsidR="00AF432E" w:rsidRPr="00FE3703">
      <w:rPr>
        <w:sz w:val="20"/>
        <w:szCs w:val="20"/>
      </w:rPr>
      <w:instrText xml:space="preserve"> PAGE   \* MERGEFORMAT </w:instrText>
    </w:r>
    <w:r w:rsidR="00AF432E" w:rsidRPr="00FE3703">
      <w:rPr>
        <w:sz w:val="20"/>
        <w:szCs w:val="20"/>
      </w:rPr>
      <w:fldChar w:fldCharType="separate"/>
    </w:r>
    <w:r w:rsidR="00D24660">
      <w:rPr>
        <w:noProof/>
        <w:sz w:val="20"/>
        <w:szCs w:val="20"/>
      </w:rPr>
      <w:t>2</w:t>
    </w:r>
    <w:r w:rsidR="00AF432E" w:rsidRPr="00FE3703">
      <w:rPr>
        <w:sz w:val="20"/>
        <w:szCs w:val="20"/>
      </w:rPr>
      <w:fldChar w:fldCharType="end"/>
    </w:r>
  </w:p>
  <w:p w:rsidR="00AF432E" w:rsidRDefault="001F1C12">
    <w:pPr>
      <w:pStyle w:val="Footer"/>
    </w:pPr>
    <w:r>
      <w:rPr>
        <w:noProof/>
        <w:lang w:val="el-GR" w:eastAsia="el-GR"/>
      </w:rPr>
      <mc:AlternateContent>
        <mc:Choice Requires="wps">
          <w:drawing>
            <wp:anchor distT="0" distB="0" distL="114300" distR="114300" simplePos="0" relativeHeight="251657216" behindDoc="0" locked="0" layoutInCell="1" allowOverlap="1" wp14:anchorId="016AA067" wp14:editId="72983B2C">
              <wp:simplePos x="0" y="0"/>
              <wp:positionH relativeFrom="column">
                <wp:posOffset>-251460</wp:posOffset>
              </wp:positionH>
              <wp:positionV relativeFrom="paragraph">
                <wp:posOffset>-186055</wp:posOffset>
              </wp:positionV>
              <wp:extent cx="6541770" cy="0"/>
              <wp:effectExtent l="5715" t="13970" r="5715" b="508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1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9.8pt;margin-top:-14.65pt;width:515.1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Rk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D9B" w:rsidRDefault="00B27D9B" w:rsidP="00AF432E">
      <w:pPr>
        <w:spacing w:after="0" w:line="240" w:lineRule="auto"/>
      </w:pPr>
      <w:r>
        <w:separator/>
      </w:r>
    </w:p>
  </w:footnote>
  <w:footnote w:type="continuationSeparator" w:id="0">
    <w:p w:rsidR="00B27D9B" w:rsidRDefault="00B27D9B" w:rsidP="00AF43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32E" w:rsidRPr="00AF432E" w:rsidRDefault="00AF432E" w:rsidP="00AF432E">
    <w:pPr>
      <w:pStyle w:val="Header"/>
      <w:jc w:val="right"/>
      <w:rPr>
        <w:b/>
        <w:i/>
        <w:sz w:val="18"/>
        <w:szCs w:val="18"/>
      </w:rPr>
    </w:pPr>
    <w:r w:rsidRPr="00AF432E">
      <w:rPr>
        <w:b/>
        <w:i/>
        <w:sz w:val="18"/>
        <w:szCs w:val="18"/>
      </w:rPr>
      <w:t>Topics in Biomedical Research and Education</w:t>
    </w:r>
  </w:p>
  <w:p w:rsidR="00AF432E" w:rsidRDefault="001F1C12">
    <w:pPr>
      <w:pStyle w:val="Header"/>
    </w:pPr>
    <w:r>
      <w:rPr>
        <w:noProof/>
        <w:lang w:val="el-GR" w:eastAsia="el-GR"/>
      </w:rPr>
      <mc:AlternateContent>
        <mc:Choice Requires="wps">
          <w:drawing>
            <wp:anchor distT="0" distB="0" distL="114300" distR="114300" simplePos="0" relativeHeight="251658240" behindDoc="0" locked="0" layoutInCell="1" allowOverlap="1">
              <wp:simplePos x="0" y="0"/>
              <wp:positionH relativeFrom="column">
                <wp:posOffset>-170815</wp:posOffset>
              </wp:positionH>
              <wp:positionV relativeFrom="paragraph">
                <wp:posOffset>96520</wp:posOffset>
              </wp:positionV>
              <wp:extent cx="6209665" cy="0"/>
              <wp:effectExtent l="10160" t="10795" r="9525" b="825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9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13.45pt;margin-top:7.6pt;width:488.9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B62309"/>
    <w:multiLevelType w:val="hybridMultilevel"/>
    <w:tmpl w:val="B0EAAB9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nsid w:val="5CE74630"/>
    <w:multiLevelType w:val="hybridMultilevel"/>
    <w:tmpl w:val="B72ED9A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nsid w:val="6AE10A61"/>
    <w:multiLevelType w:val="hybridMultilevel"/>
    <w:tmpl w:val="BF386A4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nsid w:val="6E8829D2"/>
    <w:multiLevelType w:val="hybridMultilevel"/>
    <w:tmpl w:val="00DE90A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4BD"/>
    <w:rsid w:val="0000084D"/>
    <w:rsid w:val="000057D6"/>
    <w:rsid w:val="00005991"/>
    <w:rsid w:val="00006137"/>
    <w:rsid w:val="00010A07"/>
    <w:rsid w:val="000217DE"/>
    <w:rsid w:val="00030CCC"/>
    <w:rsid w:val="00035F2C"/>
    <w:rsid w:val="00057468"/>
    <w:rsid w:val="000848C9"/>
    <w:rsid w:val="000B0E4C"/>
    <w:rsid w:val="000B43A5"/>
    <w:rsid w:val="000C778E"/>
    <w:rsid w:val="000E7EF1"/>
    <w:rsid w:val="00131B1A"/>
    <w:rsid w:val="001331C7"/>
    <w:rsid w:val="00165BF0"/>
    <w:rsid w:val="00170FB1"/>
    <w:rsid w:val="001A77E3"/>
    <w:rsid w:val="001C561F"/>
    <w:rsid w:val="001D1149"/>
    <w:rsid w:val="001F1C12"/>
    <w:rsid w:val="00215874"/>
    <w:rsid w:val="00227C23"/>
    <w:rsid w:val="00233D19"/>
    <w:rsid w:val="0023752C"/>
    <w:rsid w:val="00237AEC"/>
    <w:rsid w:val="00246985"/>
    <w:rsid w:val="00274265"/>
    <w:rsid w:val="00283A86"/>
    <w:rsid w:val="002B0F3E"/>
    <w:rsid w:val="002B377D"/>
    <w:rsid w:val="002B4A60"/>
    <w:rsid w:val="002D1624"/>
    <w:rsid w:val="002F4901"/>
    <w:rsid w:val="00302C5D"/>
    <w:rsid w:val="0034021F"/>
    <w:rsid w:val="00370010"/>
    <w:rsid w:val="0038202E"/>
    <w:rsid w:val="00383B19"/>
    <w:rsid w:val="00386645"/>
    <w:rsid w:val="0039028D"/>
    <w:rsid w:val="003A4093"/>
    <w:rsid w:val="003A4B19"/>
    <w:rsid w:val="003E5CCC"/>
    <w:rsid w:val="003F18AF"/>
    <w:rsid w:val="003F6F99"/>
    <w:rsid w:val="00413F71"/>
    <w:rsid w:val="00440E43"/>
    <w:rsid w:val="00443A39"/>
    <w:rsid w:val="00496152"/>
    <w:rsid w:val="004A0022"/>
    <w:rsid w:val="004B51F2"/>
    <w:rsid w:val="00501298"/>
    <w:rsid w:val="00506E10"/>
    <w:rsid w:val="00516A44"/>
    <w:rsid w:val="0052406F"/>
    <w:rsid w:val="005351B8"/>
    <w:rsid w:val="00552FB7"/>
    <w:rsid w:val="005A129E"/>
    <w:rsid w:val="005D5EED"/>
    <w:rsid w:val="00601085"/>
    <w:rsid w:val="00614D6A"/>
    <w:rsid w:val="00623944"/>
    <w:rsid w:val="0063565D"/>
    <w:rsid w:val="006363D0"/>
    <w:rsid w:val="00640235"/>
    <w:rsid w:val="00666DC7"/>
    <w:rsid w:val="00684D30"/>
    <w:rsid w:val="00687E05"/>
    <w:rsid w:val="006A2F43"/>
    <w:rsid w:val="006A49EA"/>
    <w:rsid w:val="006A70E0"/>
    <w:rsid w:val="006B074C"/>
    <w:rsid w:val="006C1C07"/>
    <w:rsid w:val="006D56B7"/>
    <w:rsid w:val="006E54D1"/>
    <w:rsid w:val="007132A2"/>
    <w:rsid w:val="00733D23"/>
    <w:rsid w:val="00746515"/>
    <w:rsid w:val="00760050"/>
    <w:rsid w:val="00771FF2"/>
    <w:rsid w:val="007911B6"/>
    <w:rsid w:val="0079409D"/>
    <w:rsid w:val="007C46A8"/>
    <w:rsid w:val="007D0ADD"/>
    <w:rsid w:val="007D22BB"/>
    <w:rsid w:val="007D671C"/>
    <w:rsid w:val="007E02A0"/>
    <w:rsid w:val="007E221D"/>
    <w:rsid w:val="007F65AE"/>
    <w:rsid w:val="0082133A"/>
    <w:rsid w:val="00821B70"/>
    <w:rsid w:val="008454CD"/>
    <w:rsid w:val="00896127"/>
    <w:rsid w:val="008A53AA"/>
    <w:rsid w:val="008A5829"/>
    <w:rsid w:val="008F0AF7"/>
    <w:rsid w:val="008F3EBC"/>
    <w:rsid w:val="00903105"/>
    <w:rsid w:val="009145AE"/>
    <w:rsid w:val="009348D6"/>
    <w:rsid w:val="00951D6A"/>
    <w:rsid w:val="00954626"/>
    <w:rsid w:val="0097705A"/>
    <w:rsid w:val="00983041"/>
    <w:rsid w:val="0098318D"/>
    <w:rsid w:val="009A49B2"/>
    <w:rsid w:val="009A7CF7"/>
    <w:rsid w:val="009A7F57"/>
    <w:rsid w:val="009B3E4D"/>
    <w:rsid w:val="009E14CF"/>
    <w:rsid w:val="009E4939"/>
    <w:rsid w:val="009F2AC2"/>
    <w:rsid w:val="009F55C5"/>
    <w:rsid w:val="00A01191"/>
    <w:rsid w:val="00A104BD"/>
    <w:rsid w:val="00A16336"/>
    <w:rsid w:val="00A174B7"/>
    <w:rsid w:val="00A36FCD"/>
    <w:rsid w:val="00A4389B"/>
    <w:rsid w:val="00A524EB"/>
    <w:rsid w:val="00A60CF0"/>
    <w:rsid w:val="00A61A62"/>
    <w:rsid w:val="00A6622B"/>
    <w:rsid w:val="00A6720E"/>
    <w:rsid w:val="00A7730C"/>
    <w:rsid w:val="00A96C88"/>
    <w:rsid w:val="00A96DED"/>
    <w:rsid w:val="00AA37D4"/>
    <w:rsid w:val="00AC29BF"/>
    <w:rsid w:val="00AC5417"/>
    <w:rsid w:val="00AE0464"/>
    <w:rsid w:val="00AF003B"/>
    <w:rsid w:val="00AF432E"/>
    <w:rsid w:val="00B06808"/>
    <w:rsid w:val="00B16DFA"/>
    <w:rsid w:val="00B2031B"/>
    <w:rsid w:val="00B27D9B"/>
    <w:rsid w:val="00B34318"/>
    <w:rsid w:val="00B43E6F"/>
    <w:rsid w:val="00B5666C"/>
    <w:rsid w:val="00B73C68"/>
    <w:rsid w:val="00B82BA0"/>
    <w:rsid w:val="00B934C6"/>
    <w:rsid w:val="00BB1AB4"/>
    <w:rsid w:val="00BB2306"/>
    <w:rsid w:val="00BC537F"/>
    <w:rsid w:val="00BD636A"/>
    <w:rsid w:val="00BE0CD8"/>
    <w:rsid w:val="00BE4C7F"/>
    <w:rsid w:val="00BF26B0"/>
    <w:rsid w:val="00C020AE"/>
    <w:rsid w:val="00C055DE"/>
    <w:rsid w:val="00C170CC"/>
    <w:rsid w:val="00C32C63"/>
    <w:rsid w:val="00C542B4"/>
    <w:rsid w:val="00C5691F"/>
    <w:rsid w:val="00C60D70"/>
    <w:rsid w:val="00C72586"/>
    <w:rsid w:val="00CB1260"/>
    <w:rsid w:val="00CB2D12"/>
    <w:rsid w:val="00CB4F7B"/>
    <w:rsid w:val="00CC286B"/>
    <w:rsid w:val="00CC79D3"/>
    <w:rsid w:val="00CF0338"/>
    <w:rsid w:val="00D24660"/>
    <w:rsid w:val="00D260C5"/>
    <w:rsid w:val="00D30C75"/>
    <w:rsid w:val="00D42226"/>
    <w:rsid w:val="00D52181"/>
    <w:rsid w:val="00D525D3"/>
    <w:rsid w:val="00D55285"/>
    <w:rsid w:val="00D57A7F"/>
    <w:rsid w:val="00D71DFF"/>
    <w:rsid w:val="00D85A5A"/>
    <w:rsid w:val="00D86B26"/>
    <w:rsid w:val="00D93CC2"/>
    <w:rsid w:val="00DA3124"/>
    <w:rsid w:val="00DB7AE1"/>
    <w:rsid w:val="00DC4581"/>
    <w:rsid w:val="00DD1310"/>
    <w:rsid w:val="00E076A5"/>
    <w:rsid w:val="00E12327"/>
    <w:rsid w:val="00E124E8"/>
    <w:rsid w:val="00E128FC"/>
    <w:rsid w:val="00E174A0"/>
    <w:rsid w:val="00E210C5"/>
    <w:rsid w:val="00E224CE"/>
    <w:rsid w:val="00E252BA"/>
    <w:rsid w:val="00E33EF2"/>
    <w:rsid w:val="00E343F5"/>
    <w:rsid w:val="00E804BE"/>
    <w:rsid w:val="00E90164"/>
    <w:rsid w:val="00EA2F6A"/>
    <w:rsid w:val="00EA41DC"/>
    <w:rsid w:val="00EC1298"/>
    <w:rsid w:val="00EE33F9"/>
    <w:rsid w:val="00F105E7"/>
    <w:rsid w:val="00F23D44"/>
    <w:rsid w:val="00F3124B"/>
    <w:rsid w:val="00F47D8B"/>
    <w:rsid w:val="00F501FA"/>
    <w:rsid w:val="00F63928"/>
    <w:rsid w:val="00F7121C"/>
    <w:rsid w:val="00F8593A"/>
    <w:rsid w:val="00F9260E"/>
    <w:rsid w:val="00FA196A"/>
    <w:rsid w:val="00FD0A49"/>
    <w:rsid w:val="00FE3703"/>
    <w:rsid w:val="00FE48C8"/>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E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1AB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E128FC"/>
    <w:pPr>
      <w:spacing w:before="100" w:beforeAutospacing="1" w:after="100" w:afterAutospacing="1" w:line="240" w:lineRule="auto"/>
    </w:pPr>
    <w:rPr>
      <w:rFonts w:ascii="Times New Roman" w:hAnsi="Times New Roman"/>
      <w:sz w:val="24"/>
      <w:szCs w:val="24"/>
      <w:lang w:val="el-GR" w:eastAsia="el-GR"/>
    </w:rPr>
  </w:style>
  <w:style w:type="paragraph" w:styleId="Bibliography">
    <w:name w:val="Bibliography"/>
    <w:basedOn w:val="Normal"/>
    <w:next w:val="Normal"/>
    <w:uiPriority w:val="37"/>
    <w:unhideWhenUsed/>
    <w:rsid w:val="00E128FC"/>
    <w:pPr>
      <w:tabs>
        <w:tab w:val="left" w:pos="384"/>
      </w:tabs>
      <w:spacing w:after="240" w:line="240" w:lineRule="auto"/>
      <w:ind w:left="384" w:hanging="384"/>
    </w:pPr>
  </w:style>
  <w:style w:type="character" w:styleId="Hyperlink">
    <w:name w:val="Hyperlink"/>
    <w:basedOn w:val="DefaultParagraphFont"/>
    <w:uiPriority w:val="99"/>
    <w:unhideWhenUsed/>
    <w:rsid w:val="00684D30"/>
    <w:rPr>
      <w:rFonts w:cs="Times New Roman"/>
      <w:color w:val="0563C1" w:themeColor="hyperlink"/>
      <w:u w:val="single"/>
    </w:rPr>
  </w:style>
  <w:style w:type="paragraph" w:styleId="ListParagraph">
    <w:name w:val="List Paragraph"/>
    <w:basedOn w:val="Normal"/>
    <w:uiPriority w:val="34"/>
    <w:qFormat/>
    <w:rsid w:val="00B73C68"/>
    <w:pPr>
      <w:ind w:left="720"/>
      <w:contextualSpacing/>
    </w:pPr>
  </w:style>
  <w:style w:type="character" w:styleId="FollowedHyperlink">
    <w:name w:val="FollowedHyperlink"/>
    <w:basedOn w:val="DefaultParagraphFont"/>
    <w:uiPriority w:val="99"/>
    <w:semiHidden/>
    <w:unhideWhenUsed/>
    <w:rsid w:val="00771FF2"/>
    <w:rPr>
      <w:rFonts w:cs="Times New Roman"/>
      <w:color w:val="954F72" w:themeColor="followedHyperlink"/>
      <w:u w:val="single"/>
    </w:rPr>
  </w:style>
  <w:style w:type="paragraph" w:styleId="Header">
    <w:name w:val="header"/>
    <w:basedOn w:val="Normal"/>
    <w:link w:val="HeaderChar"/>
    <w:uiPriority w:val="99"/>
    <w:unhideWhenUsed/>
    <w:rsid w:val="00AF432E"/>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AF432E"/>
    <w:rPr>
      <w:rFonts w:cs="Times New Roman"/>
    </w:rPr>
  </w:style>
  <w:style w:type="paragraph" w:styleId="Footer">
    <w:name w:val="footer"/>
    <w:basedOn w:val="Normal"/>
    <w:link w:val="FooterChar"/>
    <w:uiPriority w:val="99"/>
    <w:unhideWhenUsed/>
    <w:rsid w:val="00AF432E"/>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AF432E"/>
    <w:rPr>
      <w:rFonts w:cs="Times New Roman"/>
    </w:rPr>
  </w:style>
  <w:style w:type="paragraph" w:styleId="BalloonText">
    <w:name w:val="Balloon Text"/>
    <w:basedOn w:val="Normal"/>
    <w:link w:val="BalloonTextChar"/>
    <w:uiPriority w:val="99"/>
    <w:semiHidden/>
    <w:unhideWhenUsed/>
    <w:rsid w:val="00AF43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F43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E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1AB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E128FC"/>
    <w:pPr>
      <w:spacing w:before="100" w:beforeAutospacing="1" w:after="100" w:afterAutospacing="1" w:line="240" w:lineRule="auto"/>
    </w:pPr>
    <w:rPr>
      <w:rFonts w:ascii="Times New Roman" w:hAnsi="Times New Roman"/>
      <w:sz w:val="24"/>
      <w:szCs w:val="24"/>
      <w:lang w:val="el-GR" w:eastAsia="el-GR"/>
    </w:rPr>
  </w:style>
  <w:style w:type="paragraph" w:styleId="Bibliography">
    <w:name w:val="Bibliography"/>
    <w:basedOn w:val="Normal"/>
    <w:next w:val="Normal"/>
    <w:uiPriority w:val="37"/>
    <w:unhideWhenUsed/>
    <w:rsid w:val="00E128FC"/>
    <w:pPr>
      <w:tabs>
        <w:tab w:val="left" w:pos="384"/>
      </w:tabs>
      <w:spacing w:after="240" w:line="240" w:lineRule="auto"/>
      <w:ind w:left="384" w:hanging="384"/>
    </w:pPr>
  </w:style>
  <w:style w:type="character" w:styleId="Hyperlink">
    <w:name w:val="Hyperlink"/>
    <w:basedOn w:val="DefaultParagraphFont"/>
    <w:uiPriority w:val="99"/>
    <w:unhideWhenUsed/>
    <w:rsid w:val="00684D30"/>
    <w:rPr>
      <w:rFonts w:cs="Times New Roman"/>
      <w:color w:val="0563C1" w:themeColor="hyperlink"/>
      <w:u w:val="single"/>
    </w:rPr>
  </w:style>
  <w:style w:type="paragraph" w:styleId="ListParagraph">
    <w:name w:val="List Paragraph"/>
    <w:basedOn w:val="Normal"/>
    <w:uiPriority w:val="34"/>
    <w:qFormat/>
    <w:rsid w:val="00B73C68"/>
    <w:pPr>
      <w:ind w:left="720"/>
      <w:contextualSpacing/>
    </w:pPr>
  </w:style>
  <w:style w:type="character" w:styleId="FollowedHyperlink">
    <w:name w:val="FollowedHyperlink"/>
    <w:basedOn w:val="DefaultParagraphFont"/>
    <w:uiPriority w:val="99"/>
    <w:semiHidden/>
    <w:unhideWhenUsed/>
    <w:rsid w:val="00771FF2"/>
    <w:rPr>
      <w:rFonts w:cs="Times New Roman"/>
      <w:color w:val="954F72" w:themeColor="followedHyperlink"/>
      <w:u w:val="single"/>
    </w:rPr>
  </w:style>
  <w:style w:type="paragraph" w:styleId="Header">
    <w:name w:val="header"/>
    <w:basedOn w:val="Normal"/>
    <w:link w:val="HeaderChar"/>
    <w:uiPriority w:val="99"/>
    <w:unhideWhenUsed/>
    <w:rsid w:val="00AF432E"/>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AF432E"/>
    <w:rPr>
      <w:rFonts w:cs="Times New Roman"/>
    </w:rPr>
  </w:style>
  <w:style w:type="paragraph" w:styleId="Footer">
    <w:name w:val="footer"/>
    <w:basedOn w:val="Normal"/>
    <w:link w:val="FooterChar"/>
    <w:uiPriority w:val="99"/>
    <w:unhideWhenUsed/>
    <w:rsid w:val="00AF432E"/>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AF432E"/>
    <w:rPr>
      <w:rFonts w:cs="Times New Roman"/>
    </w:rPr>
  </w:style>
  <w:style w:type="paragraph" w:styleId="BalloonText">
    <w:name w:val="Balloon Text"/>
    <w:basedOn w:val="Normal"/>
    <w:link w:val="BalloonTextChar"/>
    <w:uiPriority w:val="99"/>
    <w:semiHidden/>
    <w:unhideWhenUsed/>
    <w:rsid w:val="00AF43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F43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027938">
      <w:marLeft w:val="0"/>
      <w:marRight w:val="0"/>
      <w:marTop w:val="0"/>
      <w:marBottom w:val="0"/>
      <w:divBdr>
        <w:top w:val="none" w:sz="0" w:space="0" w:color="auto"/>
        <w:left w:val="none" w:sz="0" w:space="0" w:color="auto"/>
        <w:bottom w:val="none" w:sz="0" w:space="0" w:color="auto"/>
        <w:right w:val="none" w:sz="0" w:space="0" w:color="auto"/>
      </w:divBdr>
    </w:div>
    <w:div w:id="2101027940">
      <w:marLeft w:val="0"/>
      <w:marRight w:val="0"/>
      <w:marTop w:val="0"/>
      <w:marBottom w:val="0"/>
      <w:divBdr>
        <w:top w:val="none" w:sz="0" w:space="0" w:color="auto"/>
        <w:left w:val="none" w:sz="0" w:space="0" w:color="auto"/>
        <w:bottom w:val="none" w:sz="0" w:space="0" w:color="auto"/>
        <w:right w:val="none" w:sz="0" w:space="0" w:color="auto"/>
      </w:divBdr>
      <w:divsChild>
        <w:div w:id="2101027939">
          <w:marLeft w:val="0"/>
          <w:marRight w:val="0"/>
          <w:marTop w:val="0"/>
          <w:marBottom w:val="0"/>
          <w:divBdr>
            <w:top w:val="none" w:sz="0" w:space="0" w:color="auto"/>
            <w:left w:val="none" w:sz="0" w:space="0" w:color="auto"/>
            <w:bottom w:val="none" w:sz="0" w:space="0" w:color="auto"/>
            <w:right w:val="none" w:sz="0" w:space="0" w:color="auto"/>
          </w:divBdr>
        </w:div>
      </w:divsChild>
    </w:div>
    <w:div w:id="210102794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Word\&#917;&#922;&#922;&#921;&#925;&#919;&#931;&#919;\Zoter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Zotero</Template>
  <TotalTime>1</TotalTime>
  <Pages>3</Pages>
  <Words>1538</Words>
  <Characters>8311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Dimitrios Filippou</cp:lastModifiedBy>
  <cp:revision>2</cp:revision>
  <dcterms:created xsi:type="dcterms:W3CDTF">2023-03-14T06:05:00Z</dcterms:created>
  <dcterms:modified xsi:type="dcterms:W3CDTF">2023-03-14T06:05:00Z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id="Ul210naq"/&gt;&lt;style id="http://www.zotero.org/styles/american-medical-association" hasBibliography="1" bibliographyStyleHasBeenSet="1"/&gt;&lt;prefs&gt;&lt;pref name="fieldType" value="Field"/&gt;&lt;pref name="auto</vt:lpwstr>
  </property>
  <property fmtid="{D5CDD505-2E9C-101B-9397-08002B2CF9AE}" pid="3" name="ZOTERO_PREF_2">
    <vt:lpwstr>maticJournalAbbreviations" value="true"/&gt;&lt;/prefs&gt;&lt;/data&gt;</vt:lpwstr>
  </property>
</Properties>
</file>